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882" w:type="dxa"/>
        <w:jc w:val="center"/>
        <w:tblLayout w:type="fixed"/>
        <w:tblCellMar>
          <w:top w:w="15" w:type="dxa"/>
          <w:left w:w="15" w:type="dxa"/>
          <w:bottom w:w="15" w:type="dxa"/>
          <w:right w:w="15" w:type="dxa"/>
        </w:tblCellMar>
        <w:tblLook w:val="04A0" w:firstRow="1" w:lastRow="0" w:firstColumn="1" w:lastColumn="0" w:noHBand="0" w:noVBand="1"/>
      </w:tblPr>
      <w:tblGrid>
        <w:gridCol w:w="456"/>
        <w:gridCol w:w="1377"/>
        <w:gridCol w:w="1276"/>
        <w:gridCol w:w="1134"/>
        <w:gridCol w:w="1286"/>
        <w:gridCol w:w="850"/>
        <w:gridCol w:w="1134"/>
        <w:gridCol w:w="1985"/>
        <w:gridCol w:w="4384"/>
      </w:tblGrid>
      <w:tr w:rsidR="00EA56F5" w:rsidRPr="00FF7955" w14:paraId="03E374E4" w14:textId="77777777" w:rsidTr="001707B5">
        <w:trPr>
          <w:trHeight w:val="22"/>
          <w:tblHeader/>
          <w:jc w:val="center"/>
        </w:trPr>
        <w:tc>
          <w:tcPr>
            <w:tcW w:w="13882" w:type="dxa"/>
            <w:gridSpan w:val="9"/>
            <w:tcBorders>
              <w:bottom w:val="single" w:sz="4" w:space="0" w:color="auto"/>
            </w:tcBorders>
          </w:tcPr>
          <w:p w14:paraId="06EE55A4" w14:textId="77777777" w:rsidR="00EA56F5" w:rsidRDefault="00EA56F5" w:rsidP="00FF7955">
            <w:pPr>
              <w:pStyle w:val="Tiu"/>
              <w:spacing w:after="0"/>
              <w:ind w:right="-1" w:firstLine="0"/>
              <w:jc w:val="left"/>
              <w:rPr>
                <w:bCs w:val="0"/>
                <w:noProof/>
                <w:sz w:val="24"/>
                <w:szCs w:val="24"/>
                <w:lang w:val="en-US"/>
              </w:rPr>
            </w:pPr>
          </w:p>
          <w:p w14:paraId="7BEC07C1" w14:textId="77777777" w:rsidR="001707B5" w:rsidRDefault="00EA56F5" w:rsidP="00FF7955">
            <w:pPr>
              <w:pStyle w:val="Tiu"/>
              <w:spacing w:after="0"/>
              <w:ind w:right="-1" w:firstLine="0"/>
              <w:jc w:val="left"/>
              <w:rPr>
                <w:b w:val="0"/>
                <w:i/>
                <w:sz w:val="24"/>
                <w:szCs w:val="24"/>
                <w:lang w:val="vi-VN"/>
              </w:rPr>
            </w:pPr>
            <w:r>
              <w:rPr>
                <w:sz w:val="24"/>
                <w:szCs w:val="24"/>
              </w:rPr>
              <w:t>Phụ lục 1</w:t>
            </w:r>
            <w:r w:rsidRPr="00FF7955">
              <w:rPr>
                <w:sz w:val="24"/>
                <w:szCs w:val="24"/>
                <w:lang w:val="vi-VN"/>
              </w:rPr>
              <w:t xml:space="preserve">. </w:t>
            </w:r>
            <w:r w:rsidRPr="00FF7955">
              <w:rPr>
                <w:b w:val="0"/>
                <w:i/>
                <w:sz w:val="24"/>
                <w:szCs w:val="24"/>
                <w:lang w:val="vi-VN"/>
              </w:rPr>
              <w:t>Tình trạng dinh dưỡng của trẻ em điều trị nội trú trên thế giới</w:t>
            </w:r>
          </w:p>
          <w:p w14:paraId="00562559" w14:textId="67A9E611" w:rsidR="00EA56F5" w:rsidRPr="00EA56F5" w:rsidRDefault="00EA56F5" w:rsidP="00FF7955">
            <w:pPr>
              <w:pStyle w:val="Tiu"/>
              <w:spacing w:after="0"/>
              <w:ind w:right="-1" w:firstLine="0"/>
              <w:jc w:val="left"/>
              <w:rPr>
                <w:bCs w:val="0"/>
                <w:noProof/>
                <w:sz w:val="24"/>
                <w:szCs w:val="24"/>
                <w:lang w:val="en-US"/>
              </w:rPr>
            </w:pPr>
            <w:r w:rsidRPr="00FF7955">
              <w:rPr>
                <w:b w:val="0"/>
                <w:i/>
                <w:lang w:val="vi-VN"/>
              </w:rPr>
              <w:tab/>
            </w:r>
          </w:p>
        </w:tc>
      </w:tr>
      <w:tr w:rsidR="00293C5C" w:rsidRPr="00FF7955" w14:paraId="4A54558F" w14:textId="77777777" w:rsidTr="00A1467B">
        <w:trPr>
          <w:trHeight w:val="22"/>
          <w:tblHeader/>
          <w:jc w:val="center"/>
        </w:trPr>
        <w:tc>
          <w:tcPr>
            <w:tcW w:w="456" w:type="dxa"/>
            <w:tcBorders>
              <w:top w:val="single" w:sz="4" w:space="0" w:color="auto"/>
              <w:left w:val="single" w:sz="8" w:space="0" w:color="000000"/>
              <w:bottom w:val="single" w:sz="8" w:space="0" w:color="000000"/>
              <w:right w:val="single" w:sz="8" w:space="0" w:color="000000"/>
            </w:tcBorders>
          </w:tcPr>
          <w:p w14:paraId="28416AC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STT</w:t>
            </w:r>
          </w:p>
        </w:tc>
        <w:tc>
          <w:tcPr>
            <w:tcW w:w="137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0A956A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Tác giả (năm xuất bản)</w:t>
            </w:r>
          </w:p>
        </w:tc>
        <w:tc>
          <w:tcPr>
            <w:tcW w:w="127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B6D93F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w:t>
            </w:r>
          </w:p>
        </w:tc>
        <w:tc>
          <w:tcPr>
            <w:tcW w:w="113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5D2422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Quốc gia</w:t>
            </w:r>
          </w:p>
        </w:tc>
        <w:tc>
          <w:tcPr>
            <w:tcW w:w="128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E416AD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Thiết kế NC</w:t>
            </w:r>
          </w:p>
        </w:tc>
        <w:tc>
          <w:tcPr>
            <w:tcW w:w="85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7EACF10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Cỡ mẫu</w:t>
            </w:r>
          </w:p>
        </w:tc>
        <w:tc>
          <w:tcPr>
            <w:tcW w:w="113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BA69BF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Tuổi</w:t>
            </w:r>
          </w:p>
        </w:tc>
        <w:tc>
          <w:tcPr>
            <w:tcW w:w="198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1BA1C1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Công cụ đánh giá TTDD</w:t>
            </w:r>
          </w:p>
        </w:tc>
        <w:tc>
          <w:tcPr>
            <w:tcW w:w="4384"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6BD44B2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Kết quả</w:t>
            </w:r>
          </w:p>
        </w:tc>
      </w:tr>
      <w:tr w:rsidR="00293C5C" w:rsidRPr="00FF7955" w14:paraId="1F54D744"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20633DE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B3A9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Ayhatun Topal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{"citationID":"pE0e2D8a","properties":{"formattedCitation":"\\super 6\\nosupersub{}","plainCitation":"6","noteIndex":0},"citationItems":[{"id":1404,"uris":["http://zotero.org/users/14905191/items/GZTNGMTJ"],"itemData":{"id":1404,"type":"article-journal","abstract":"OBJECTIVE: To determine the prevalence of malnutrition in hospitalized pediatric patients, to provide a classification of patients with malnutrition, and to evaluate the effect of malnutrition on length of hospital stay.\nMATERIAL AND METHODS: The study included patients aged 5 months to 18 years who were hospitalized in the Department of Pediatrics of the Adana City Training and Research Hospital between May 1st, 2018, and December 31st, 2018. Bodyweight, height, mid-upper arm circumference, and triceps skinfold thickness were measured at the time of hospitalization, and age, sex, diagnosis, comorbid conditions, and length of stay for treatment were recorded.\nRESULTS: Of 1009 patients, 44% were female and 56% were male, and the mean age was 59.9±58.6 (median age 32) months. The mean length of stay was 6.83±4.48 days. Malnutrition was determined in 46.9% of the patients according to the Gomez classification. The mean length of stay in patients without malnutrition was 6.31±3.86 days, compared with 7.39±5.04 days in patients with malnutrition (p&lt;0.001). The length of stay increased with increasing degrees of malnutrition (p&lt;0.001).\nCONCLUSION: Malnutrition is often overlooked in hospitalized patients. Studies conducted in different years that reported similar malnutrition rates indicated that this condition still existed as a significant health problem. In the evaluation of nutritional status in hospitalized patients, paying attention to malnutrition while addressing the main reason of hospitalization and incorporating nutritional support into the treatment plan will decrease the length of stay and also reduce the rate of complications.","container-title":"Turkish Archives of Pediatrics","DOI":"10.14744/TurkPediatriArs.2020.46354","ISSN":"2757-6256","issue":"1","journalAbbreviation":"Turk Arch Pediatr","language":"eng","note":"PMID: 34013228\nPMCID: PMC8114599","page":"37-43","source":"PubMed","title":"Effect of malnutrition on length of hospital stay in children","volume":"56","author":[{"family":"Topal","given":"Ayhatun"},{"family":"Tolunay","given":"Orkun"}],"issued":{"date-parts":[["2021",1]]}}}],"schema":"https://github.com/citation-style-language/schema/raw/master/csl-citation.json"}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6</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35AA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Đào tạo và Nghiên cứu TP Adana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930B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Thổ Nhĩ Kỳ</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F1FA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Tiến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EC3A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1009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73CF8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5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D585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Gomez </w:t>
            </w:r>
            <w:r w:rsidRPr="00FF7955">
              <w:rPr>
                <w:b w:val="0"/>
                <w:noProof/>
                <w:sz w:val="24"/>
                <w:szCs w:val="24"/>
              </w:rPr>
              <w:fldChar w:fldCharType="begin"/>
            </w:r>
            <w:r w:rsidRPr="00FF7955">
              <w:rPr>
                <w:b w:val="0"/>
                <w:noProof/>
                <w:sz w:val="24"/>
                <w:szCs w:val="24"/>
              </w:rPr>
              <w:instrText xml:space="preserve"> ADDIN ZOTERO_ITEM CSL_CITATION {"citationID":"Vjn65xvp","properties":{"formattedCitation":"\\super 7\\nosupersub{}","plainCitation":"7","noteIndex":0},"citationItems":[{"id":1402,"uris":["http://zotero.org/users/14905191/items/FXC66ZAP"],"itemData":{"id":1402,"type":"article-journal","container-title":"Advances in Pediatrics","DOI":"10.1016/S0065-3101(22)00438-8","ISSN":"0065-3101","issue":"1","journalAbbreviation":"Advances in Pediatrics","page":"131-169","source":"ScienceDirect","title":"Malnutrition in Infancy and Childhood, with Special Reference to Kwashiorkor","volume":"7","author":[{"family":"Gomez","given":"FEDERICO"},{"family":"Galvan","given":"RAFAEL RAMOS"},{"family":"Cravioto","given":"JOAQUIN"},{"family":"Frenk","given":"SILVESTRE"}],"issued":{"date-parts":[["1955",1,1]]}}}],"schema":"https://github.com/citation-style-language/schema/raw/master/csl-citation.json"} </w:instrText>
            </w:r>
            <w:r w:rsidRPr="00FF7955">
              <w:rPr>
                <w:b w:val="0"/>
                <w:noProof/>
                <w:sz w:val="24"/>
                <w:szCs w:val="24"/>
              </w:rPr>
              <w:fldChar w:fldCharType="separate"/>
            </w:r>
            <w:r w:rsidRPr="00FF7955">
              <w:rPr>
                <w:b w:val="0"/>
                <w:noProof/>
                <w:sz w:val="24"/>
                <w:szCs w:val="24"/>
              </w:rPr>
              <w:t>7</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63DE5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Tỷ lệ SDD chiếm 46,9%, trong đó 20,2% bị SDD nhẹ, 11,2% bị SDD trung bình và 5,4% bị SDD nặng.</w:t>
            </w:r>
          </w:p>
        </w:tc>
      </w:tr>
      <w:tr w:rsidR="00293C5C" w:rsidRPr="00FF7955" w14:paraId="31F1F486"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14D31FB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3E14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Suchaorn Saengnipanthkul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{"citationID":"VDYqT9z7","properties":{"formattedCitation":"\\super 8\\nosupersub{}","plainCitation":"8","noteIndex":0},"citationItems":[{"id":1407,"uris":["http://zotero.org/users/14905191/items/A5ATTVQZ"],"itemData":{"id":1407,"type":"article-journal","abstract":"BACKGROUND AND OBJECTIVES: Malnutrition is a major public health concern that increases morbidity and mortality in hospitalized patients, particularly those in developing countries. This study aimed to investigate its prevalence, risk factors, and impact on clinical outcomes in hospitalized children and adolescents.\nMETHODS AND STUDY DESIGN: We conducted a prospective cohort study in patients aged 1 month to 18 years who were admitted to four tertiary care hospitals between December 2018 and May 2019. We collected demographic data, clinical information, and nutritional assessment within 48 hours of admission.\nRESULTS: A total of 816 patients with 883 admissions were included. Their median age was 5.3 years (interquartile range 9.3). Most patients (88.9%) were admitted with mild medical conditions (e.g., minor infection) or noninvasive procedures. The prevalence of overall malnutrition was 44.5%, while that of acute and chronic malnutrition was 14.3% and 23.6%, respectively. Malnutrition was significantly associated with age ≤2 years, preexisting diseases (cerebral palsy, chronic cardiac diseases, and bronchopulmonary dysplasia), and muscle wasting. Addi-tional risk factors for chronic malnutrition included biliary atresia, intestinal malabsorption, chronic kidney disease, as well as inability to eat and decreased food intake for &gt;7 days. Malnourished patients had a significantly longer hospitalization duration, higher hospital cost, and nosocomial infection rates than did well-nourished patients.\nCONCLUSIONS: Patients with chronic medical conditions on admission are at risk for malnutrition. Therefore, determination of admission nutritional status must be assessed, and its management are requisites for improved inpatient outcomes.","container-title":"Asia Pacific Journal of Clinical Nutrition","DOI":"10.6133/apjcn.202303_32(1).0013","ISSN":"1440-6047","issue":"1","journalAbbreviation":"Asia Pac J Clin Nutr","language":"eng","note":"PMID: 36997490","page":"85-92","source":"PubMed","title":"Prevalence and risk factors for pediatric acute and chronic malnutrition: A multi-site tertiary medical center study in Thailand","title-short":"Prevalence and risk factors for pediatric acute and chronic malnutrition","volume":"32","author":[{"family":"Saengnipanthkul","given":"Suchaorn"},{"family":"Apiraksakorn","given":"Amnuayporn"},{"family":"Densupsoontorn","given":"Narumon"},{"family":"Chongviriyaphan","given":"Nalinee"}],"issued":{"date-parts":[["2023"]]}}}],"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8</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95628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 bệnh viện CSSK cấp 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21F8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Thái Lan</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F5A6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tiến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BE04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816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8133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5A53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Z-score/ MUAC (Chu vi vòng cánh tay) theo Tổ chức Y tế Thế giới (WHO) </w:t>
            </w:r>
            <w:r w:rsidRPr="00FF7955">
              <w:rPr>
                <w:b w:val="0"/>
                <w:noProof/>
                <w:sz w:val="24"/>
                <w:szCs w:val="24"/>
              </w:rPr>
              <w:fldChar w:fldCharType="begin"/>
            </w:r>
            <w:r w:rsidRPr="00FF7955">
              <w:rPr>
                <w:b w:val="0"/>
                <w:noProof/>
                <w:sz w:val="24"/>
                <w:szCs w:val="24"/>
              </w:rPr>
              <w:instrText xml:space="preserve"> ADDIN ZOTERO_ITEM CSL_CITATION {"citationID":"u7YN6N82","properties":{"formattedCitation":"\\super 9\\nosupersub{}","plainCitation":"9","noteIndex":0},"citationItems":[{"id":1409,"uris":["http://zotero.org/users/14905191/items/CRS46293"],"itemData":{"id":1409,"type":"webpage","abstract":"This web site presents the WHO Child Growth Standards. These standards were developed using data collected in the WHO Multicentre Growth Reference Study. The site presents documentation on how the physical growth curves and motor milestone windows of achievement were developed as well as application tools to support implementation of the standards.","language":"en","title":"The WHO Child Growth Standards","URL":"https://www.who.int/tools/child-growth-standards","accessed":{"date-parts":[["2024",9,20]]}}}],"schema":"https://github.com/citation-style-language/schema/raw/master/csl-citation.json"} </w:instrText>
            </w:r>
            <w:r w:rsidRPr="00FF7955">
              <w:rPr>
                <w:b w:val="0"/>
                <w:noProof/>
                <w:sz w:val="24"/>
                <w:szCs w:val="24"/>
              </w:rPr>
              <w:fldChar w:fldCharType="separate"/>
            </w:r>
            <w:r w:rsidRPr="00FF7955">
              <w:rPr>
                <w:b w:val="0"/>
                <w:noProof/>
                <w:sz w:val="24"/>
                <w:szCs w:val="24"/>
              </w:rPr>
              <w:t>9</w:t>
            </w:r>
            <w:r w:rsidRPr="00FF7955">
              <w:rPr>
                <w:b w:val="0"/>
                <w:noProof/>
                <w:sz w:val="24"/>
                <w:szCs w:val="24"/>
              </w:rPr>
              <w:fldChar w:fldCharType="end"/>
            </w:r>
            <w:r w:rsidRPr="00FF7955">
              <w:rPr>
                <w:b w:val="0"/>
                <w:noProof/>
                <w:sz w:val="24"/>
                <w:szCs w:val="24"/>
              </w:rPr>
              <w:t>,</w:t>
            </w:r>
            <w:r w:rsidRPr="00FF7955">
              <w:rPr>
                <w:b w:val="0"/>
                <w:noProof/>
                <w:sz w:val="24"/>
                <w:szCs w:val="24"/>
              </w:rPr>
              <w:fldChar w:fldCharType="begin"/>
            </w:r>
            <w:r w:rsidRPr="00FF7955">
              <w:rPr>
                <w:b w:val="0"/>
                <w:noProof/>
                <w:sz w:val="24"/>
                <w:szCs w:val="24"/>
              </w:rPr>
              <w:instrText xml:space="preserve"> ADDIN ZOTERO_ITEM CSL_CITATION {"citationID":"r5TNhRSx","properties":{"formattedCitation":"\\super 10\\nosupersub{}","plainCitation":"10","noteIndex":0},"citationItems":[{"id":1411,"uris":["http://zotero.org/users/14905191/items/7K62QA2L"],"itemData":{"id":1411,"type":"webpage","abstract":"This web site presents growth reference data for children and adolescents, 5-19 years (or 61-228 months).","language":"en","title":"Growth reference data for 5-19 years","URL":"https://www.who.int/tools/growth-reference-data-for-5to19-years","accessed":{"date-parts":[["2024",9,20]]}}}],"schema":"https://github.com/citation-style-language/schema/raw/master/csl-citation.json"} </w:instrText>
            </w:r>
            <w:r w:rsidRPr="00FF7955">
              <w:rPr>
                <w:b w:val="0"/>
                <w:noProof/>
                <w:sz w:val="24"/>
                <w:szCs w:val="24"/>
              </w:rPr>
              <w:fldChar w:fldCharType="separate"/>
            </w:r>
            <w:r w:rsidRPr="00FF7955">
              <w:rPr>
                <w:b w:val="0"/>
                <w:noProof/>
                <w:sz w:val="24"/>
                <w:szCs w:val="24"/>
              </w:rPr>
              <w:t>10</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FAAA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Tỷ lệ SDD chung là 44,5%, trong khi tỷ lệ SDD cấp tính và mãn tính là 14,3% và 23,6%.</w:t>
            </w:r>
          </w:p>
        </w:tc>
      </w:tr>
      <w:tr w:rsidR="00293C5C" w:rsidRPr="00FF7955" w14:paraId="0547AC10"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2A3E933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1A8D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Henri Aarnivala và cs (2020)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{"citationID":"QY8n8A68","properties":{"formattedCitation":"\\super 11\\nosupersub{}","plainCitation":"11","noteIndex":0},"citationItems":[{"id":1413,"uris":["http://zotero.org/users/14905191/items/5ZFC9DFD"],"itemData":{"id":1413,"type":"article-journal","abstract":"The adequate nutritional status of pediatric cancer patients is particularly important to enable them to cope with the demands of the disease and its treatment and to maintain normal growth. Malnutrition and obesity have both been associated with reduced survival and increased drug toxicity. We investigated trends in the age- and sex-adjusted body mass index (ISO-BMI) and the prevalence of malnutrition in a Finnish cohort of 139 consecutive children receiving chemotherapy for cancer, with a follow-up period of 42 months after diagnosis. In total, 28% (39/139) of the patients experienced malnutrition (ISO-BMI &lt; 17 or &gt; 10% weight loss), and 12% (16/139) had a nasogastric tube or underwent gastrostomy. Patients with acute or chronic myeloid leukemia (5/10), central nervous system (CNS) tumors (5/13), or solid tumors (13/31) most frequently suffered from malnutrition. There was a significant increase in the ISO-BMI of patients with acute lymphoblastic leukemia (ALL) (+ 2.1 kg/m2) and lymphomas (+ 2.4 kg/m2) during the first 6 months, and the ISO-BMI of patients with ALL remained higher at 42 months compared to baseline (+ 1.9 kg/m2).Conclusion: The cumulative incidence of malnutrition in Finnish pediatric cancer patients is comparable to that reported in other populations. The nutritional status of patients with acute myeloid leukemia, CNS tumors, or solid tumors should be monitored with extra care to facilitate early intervention in the case of impending malnutrition.What is known:• Both malnutrition and obesity are associated with reduced survival and increased drug toxicity in pediatric cancer patients.What is new:• Overall, 28 % of Finnish children receiving chemotherapy for cancer suffer from malnutrition during the first 42 months following the initial cancer diagnosis. • ISO-BMI curves from initial diagnosis to 42 months after diagnosis are provided for patients with different types of cancer.","container-title":"European Journal of Pediatrics","DOI":"10.1007/s00431-019-03482-w","ISSN":"1432-1076","issue":"1","journalAbbreviation":"Eur J Pediatr","language":"eng","note":"PMID: 31659466\nPMCID: PMC6942564","page":"91-98","source":"PubMed","title":"Trends in age- and sex-adjusted body mass index and the prevalence of malnutrition in children with cancer over 42 months after diagnosis: a single-center cohort study","title-short":"Trends in age- and sex-adjusted body mass index and the prevalence of malnutrition in children with cancer over 42 months after diagnosis","volume":"179","author":[{"family":"Aarnivala","given":"Henri"},{"family":"Pokka","given":"Tytti"},{"family":"Soininen","given":"Riina"},{"family":"Möttönen","given":"Merja"},{"family":"Harila-Saari","given":"Arja"},{"family":"Niinimäki","given":"Riitta"}],"issued":{"date-parts":[["2020",1]]}}}],"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11</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6815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Đại học Oulu</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BD20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Phần Lan</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502A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4802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139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5928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2A1D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Biểu đồ tăng trưởng của Phần Lan </w:t>
            </w:r>
            <w:r w:rsidRPr="00FF7955">
              <w:rPr>
                <w:b w:val="0"/>
                <w:noProof/>
                <w:sz w:val="24"/>
                <w:szCs w:val="24"/>
              </w:rPr>
              <w:fldChar w:fldCharType="begin"/>
            </w:r>
            <w:r w:rsidRPr="00FF7955">
              <w:rPr>
                <w:b w:val="0"/>
                <w:noProof/>
                <w:sz w:val="24"/>
                <w:szCs w:val="24"/>
              </w:rPr>
              <w:instrText xml:space="preserve"> ADDIN ZOTERO_ITEM CSL_CITATION {"citationID":"SytprU4k","properties":{"formattedCitation":"\\super 12\\nosupersub{}","plainCitation":"12","noteIndex":0},"citationItems":[{"id":1416,"uris":["http://zotero.org/users/14905191/items/G8G22JVB"],"itemData":{"id":1416,"type":"article-journal","abstract":"BACKGROUND AND OBJECTIVES: Growth curves require regular updates due to secular trends in linear growth. We constructed contemporary growth curves, assessed secular trends in height, and defined body mass index (BMI) cut-off points for thinness, overweight, and obesity in Finnish children.\nMATERIAL AND METHODS: Mixed cross-sectional/longitudinal data of 73,659 healthy subjects aged 0-20 years (born 1983-2008) were collected from providers in the primary health care setting. Growth references for length/height-for-age, weight-for-length/height, and BMI-for-age were fitted using generalized additive models for location, scale, and shape (GAMLSS). BMI percentile curves passing through BMIs 30, 25, 18.5, 17, and 16 kg/m(2) at the age of 18 years were calculated to define limits for obesity, overweight, and various grades of thinness.\nRESULTS: Increased length/height-for-age was seen in virtually all age-groups when compared to previous Finnish growth data from 1959 to 1971. Adult height was increased by 1.9 cm in girls and 1.8 cm in boys. The largest increases were seen during the peripubertal years: up to 2.8 cm in girls and 5.6 cm in boys. Median weight-for-length/height had not increased.\nCONCLUSIONS: New Finnish references for length/height-for-age, weight-for-length/height, and BMI-for-age were constructed and should be implemented to monitor growth of children in Finland.","container-title":"Annals of Medicine","DOI":"10.3109/07853890.2010.515603","ISSN":"1365-2060","issue":"3","journalAbbreviation":"Ann Med","language":"eng","note":"PMID: 20854213","page":"235-248","source":"PubMed","title":"New Finnish growth references for children and adolescents aged 0 to 20 years: Length/height-for-age, weight-for-length/height, and body mass index-for-age","title-short":"New Finnish growth references for children and adolescents aged 0 to 20 years","volume":"43","author":[{"family":"Saari","given":"Antti"},{"family":"Sankilampi","given":"Ulla"},{"family":"Hannila","given":"Marja-Leena"},{"family":"Kiviniemi","given":"Vesa"},{"family":"Kesseli","given":"Kari"},{"family":"Dunkel","given":"Leo"}],"issued":{"date-parts":[["2011",5]]}}}],"schema":"https://github.com/citation-style-language/schema/raw/master/csl-citation.json"} </w:instrText>
            </w:r>
            <w:r w:rsidRPr="00FF7955">
              <w:rPr>
                <w:b w:val="0"/>
                <w:noProof/>
                <w:sz w:val="24"/>
                <w:szCs w:val="24"/>
              </w:rPr>
              <w:fldChar w:fldCharType="separate"/>
            </w:r>
            <w:r w:rsidRPr="00FF7955">
              <w:rPr>
                <w:b w:val="0"/>
                <w:noProof/>
                <w:sz w:val="24"/>
                <w:szCs w:val="24"/>
              </w:rPr>
              <w:t>12</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70D9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nhẹ cân là 9%</w:t>
            </w:r>
          </w:p>
          <w:p w14:paraId="4D42587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béo phì là 20%</w:t>
            </w:r>
          </w:p>
        </w:tc>
      </w:tr>
      <w:tr w:rsidR="00293C5C" w:rsidRPr="00FF7955" w14:paraId="14C72CA6"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29A0A07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8564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Yoo Min Lee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{"citationID":"IKmn9N0Q","properties":{"formattedCitation":"\\super 13\\nosupersub{}","plainCitation":"13","noteIndex":0},"citationItems":[{"id":1418,"uris":["http://zotero.org/users/14905191/items/LNHVDNYL"],"itemData":{"id":1418,"type":"article-journal","abstract":"BACKGROUND/OBJECTIVES: To evaluate the nutritional status and prevalence of malnutrition in hospitalized children at admission and during hospitalization in South Korea.\nSUBJECTS/METHODS: This first cross-sectional nationwide \"Pediatric Nutrition Day (pNday)\" survey was conducted among 872 hospitalized children (504 boys, 368 girls; 686 medical, 186 surgical) from 23 hospitals in South Korea. Malnutrition risk was screened using the Pediatric Yorkhill Malnutrition Score (PYMS) and the Screening Tool Risk on Nutritional status and Growth. Nutritional status was assessed by z-scores of weight-for-age for underweight, weight-for-height for wasting, and height-for-age for stunting as well as laboratory tests.\nRESULTS: At admission, of the 872 hospitalized children, 17.2% were underweight, and the prevalence of wasting and stunting was 20.2% and 17.3%, respectively. During hospitalization till pNday, 10.8% and 19.6% experienced weight loss and decreased oral intake, respectively. During the aforementioned period, fasting was more prevalent in surgical patients (7.5%) than in medical patients (1.6%) (P &lt; 0.001). According to the PYMS, 34.3% and 30% of the children at admission and on pNday, respectively, had a high-risk of malnutrition, requiring consultation with the nutritional support team (NST). However, only 4% were actually referred to the NST during hospitalization.\nCONCLUSIONS: Malnutrition was prevalent at admission and during hospitalization in pediatric patients, with many children experiencing weight loss and poor oral intake. To improve the nutritional status of hospitalized children, it is important to screen and identify all children at risk of malnutrition and refer malnourished patients to the multidisciplinary NST for proper nutritional interventions.","container-title":"Nutrition Research and Practice","DOI":"10.4162/nrp.2021.15.2.213","ISSN":"1976-1457","issue":"2","journalAbbreviation":"Nutr Res Pract","language":"eng","note":"PMID: 33841725\nPMCID: PMC8007407","page":"213-224","source":"PubMed","title":"Nationwide \"Pediatric Nutrition Day\" survey on the nutritional status of hospitalized children in South Korea","volume":"15","author":[{"family":"Lee","given":"Yoo Min"},{"family":"Ryoo","given":"Eell"},{"family":"Hong","given":"Jeana"},{"family":"Kang","given":"Ben"},{"family":"Choe","given":"Byung-Ho"},{"family":"Seo","given":"Ji-Hyun"},{"family":"Park","given":"Ji Sook"},{"family":"Jang","given":"Hyo-Jeong"},{"family":"Lee","given":"Yoon"},{"family":"Chang","given":"Eun Jae"},{"family":"Chang","given":"Ju Young"},{"family":"Lee","given":"Hae Jeong"},{"family":"Kim","given":"Ju Young"},{"family":"Lee","given":"Eun Hye"},{"family":"Kim","given":"Hyun Jin"},{"family":"Chung","given":"Ju-Young"},{"family":"Choi","given":"You Jin"},{"family":"Choi","given":"So Yoon"},{"family":"Kim","given":"Soon Chul"},{"family":"Kang","given":"Ki-Soo"},{"family":"Yi","given":"Dae Yong"},{"family":"Moon","given":"Kyung Rye"},{"family":"Lee","given":"Ji Hyuk"},{"family":"Kim","given":"Yong Joo"},{"family":"Yang","given":"Hye Ran"}],"issued":{"date-parts":[["2021",4]]}}}],"schema":"https://github.com/citation-style-language/schema/raw/master/csl-citation.json"}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13</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307B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23 bệnh viện</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AA44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Hàn Quốc</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C501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9739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872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3937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&lt;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DE80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Biểu đồ tăng trưởng quốc gia Hàn Quốc </w:t>
            </w:r>
            <w:r w:rsidRPr="00FF7955">
              <w:rPr>
                <w:b w:val="0"/>
                <w:noProof/>
                <w:sz w:val="24"/>
                <w:szCs w:val="24"/>
              </w:rPr>
              <w:fldChar w:fldCharType="begin"/>
            </w:r>
            <w:r w:rsidRPr="00FF7955">
              <w:rPr>
                <w:b w:val="0"/>
                <w:noProof/>
                <w:sz w:val="24"/>
                <w:szCs w:val="24"/>
              </w:rPr>
              <w:instrText xml:space="preserve"> ADDIN ZOTERO_ITEM CSL_CITATION {"citationID":"ZUhMbD1C","properties":{"formattedCitation":"\\super 14\\nosupersub{}","plainCitation":"14","noteIndex":0},"citationItems":[{"id":1511,"uris":["http://zotero.org/users/14905191/items/2M3HQLCJ"],"itemData":{"id":1511,"type":"article-journal","abstract":"Growth charts are curves or tables that facilitate the visualization of anthropometric parameters, and are widely used as an important indicator when evaluating the growth status of children and adolescents. The latest version of the Korean National ...","container-title":"Korean Journal of Pediatrics","DOI":"10.3345/kjp.2018.61.5.135","issue":"5","language":"en","note":"PMID: 29853938","page":"135","source":"pmc.ncbi.nlm.nih.gov","title":"The 2017 Korean National Growth Charts for children and adolescents: development, improvement, and prospects","title-short":"The 2017 Korean National Growth Charts for children and adolescents","volume":"61","author":[{"family":"Kim","given":"Jae Hyun"},{"family":"Yun","given":"Sungha"},{"family":"Hwang","given":"Seung-sik"},{"family":"Shim","given":"Jung Ok"},{"family":"Chae","given":"Hyun Wook"},{"family":"Lee","given":"Yeoun Joo"},{"family":"Lee","given":"Ji Hyuk"},{"family":"Kim","given":"Soon Chul"},{"family":"Lim","given":"Dohee"},{"family":"Yang","given":"Sei Won"},{"family":"Oh","given":"Kyungwon"},{"family":"Moon","given":"Jin Soo"},{"family":"Adolescents","given":"The Committee for the Development of Growth Standards for Korean Children","dropping-particle":"and"},{"family":"The Committee for School Health and Public Health Statistics","given":"the Korean Pediatric Society"},{"family":"Division of Health and Nutrition Survey","given":"Korea Centers for Disease Control and Prevention"}],"issued":{"date-parts":[["2018",5,28]]}}}],"schema":"https://github.com/citation-style-language/schema/raw/master/csl-citation.json"} </w:instrText>
            </w:r>
            <w:r w:rsidRPr="00FF7955">
              <w:rPr>
                <w:b w:val="0"/>
                <w:noProof/>
                <w:sz w:val="24"/>
                <w:szCs w:val="24"/>
              </w:rPr>
              <w:fldChar w:fldCharType="separate"/>
            </w:r>
            <w:r w:rsidRPr="00FF7955">
              <w:rPr>
                <w:b w:val="0"/>
                <w:noProof/>
                <w:sz w:val="24"/>
                <w:szCs w:val="24"/>
              </w:rPr>
              <w:t>14</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AD7D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Tại thời điểm nhập viện, 17,2% trẻ nhẹ cân, tỷ lệ gầy còm và thấp còi là 20,2% và 17,3%. Trong thời gian nằm viện, lần lượt 10,8% và 19,6% bị sụt cân và giảm lượng thức ăn đưa vào qua đường miệng</w:t>
            </w:r>
          </w:p>
        </w:tc>
      </w:tr>
      <w:tr w:rsidR="00293C5C" w:rsidRPr="00FF7955" w14:paraId="1A46B79B"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38089D9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5</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3157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Makanda B.Itaka và cs (2020)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{"citationID":"NJ7MNA9p","properties":{"formattedCitation":"\\super 15\\nosupersub{}","plainCitation":"15","noteIndex":0},"citationItems":[{"id":1422,"uris":["http://zotero.org/users/14905191/items/WIF5LXQG"],"itemData":{"id":1422,"type":"article-journal","abstract":"Background\nMalnutrition is a significant risk factor for ill health among children under 5 years of age and the consequences are significant.\n\nAim\nThe aim of this study was to determine the prevalence and factors associated with malnutrition among under-5-year-old hospitalised children.\n\nSetting\nThis study was set at Sebokeng, Kopanong and Heidelberg hospitals, Sedibeng district, South Africa.\n\nMethods\nThis was a cross-sectional study comprising 306 hospitalised under-5-year-old children. Information on socio-demography, feeding practices, immunisation and clinical problems was obtained from caregivers and medical records. Anthropometric measurements were also performed.\n\nResults\nMost participants were male (59.8%), had normal birth weights (80.0%), come from a household with a monthly income R2000 (about 150 US dollars) (50.3%), up-to-date immunisation (97.4%), breastfed for 6 months (57.4%) and were fed 3–4 meals/day (66.7%) and, at most, one snack/day (63.4%). Acute malnutrition accounted for 9.5% (n = 29) of admissions. Among these, 82.8% (n = 24) had severe acute malnutrition. On test of association, monthly household income (p = 0.01), mother’s and father’s employment status (p = 0.01; p = 0.01), breastfeeding history (p = 0.01) and having diarrhoea in index admission (p = 0.01) were significantly associated with malnutrition admission. In multivariate regression analyses, not being breastfed (odds ratio [OR] = 3.9; 95% confidence interval [CI]: 1.23–12.29; p = 0.02) and diarrhoea at index admission were independently associated with malnutrition (OR = 23.3; 95% CI: 6.85–79.43; p = 0.01).\n\nConclusion\nA significant proportion of participants had malnutrition and were subjected to suboptimal feeding practices. Healthcare providers in primary care need to entrench dietary education and anthropometric screening in all clinic visits for children 5 years old, particularly when they present with diarrhoea or are not being breastfed.","container-title":"African Journal of Primary Health Care &amp; Family Medicine","DOI":"10.4102/phcfm.v12i1.2444","ISSN":"2071-2928","issue":"1","journalAbbreviation":"Afr J Prim Health Care Fam Med","note":"PMID: 33354983\nPMCID: PMC7736651","page":"2444","source":"PubMed Central","title":"Prevalence and factors associated with malnutrition among under 5-year-old children hospitalised in three public hospitals in South Africa","volume":"12","author":[{"family":"Itaka","given":"Makanda B."},{"family":"Omole","given":"Olufemi B."}],"issued":{"date-parts":[["2020",11,27]]}}}],"schema":"https://github.com/citation-style-language/schema/raw/master/csl-citation.json"}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15</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B69C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 bệnh viện công</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587D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Nam Phi</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9958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9517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306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87B0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&lt; 5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4D28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0D38B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 SDD cấp tính chiếm 9,5%. Trong đó có 82,8% bị SDD cấp tính nặng.</w:t>
            </w:r>
          </w:p>
        </w:tc>
      </w:tr>
      <w:tr w:rsidR="00293C5C" w:rsidRPr="00FF7955" w14:paraId="17FCC538"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25FE69D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6</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2EF6E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Aiko Inoue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{"citationID":"9jXZ7KQG","properties":{"formattedCitation":"\\super 16\\nosupersub{}","plainCitation":"16","noteIndex":0},"citationItems":[{"id":1425,"uris":["http://zotero.org/users/14905191/items/VMIGV6DE"],"itemData":{"id":1425,"type":"article-journal","abstract":"BACKGROUND: Malnutrition has various adverse effects in children. This study aimed to determine risk factors for malnutrition among hospitalised children, changes in nutritional status at admission and discharge and effects of use of systematic anthropometric measurement in identification of malnutrition.\nMETHODS: We enrolled 426 children, aged between 6 months and 15 years, admitted to Siddhi Memorial Hospital, Bhaktapur, Nepal, from November 2016 to June 2017. Anthropometric measurements were performed at the time of admission and discharge. Risk factors were assessed by multivariable logistic regression models.\nRESULTS: Median age of children was 26 months (IQR: 13-49), and males were 58.7%. The prevalence of wasting was 9.2% (39/426) at admission and 8.5% (36/426) at discharge. Risk factors associated with wasting at admission were ethnic minority (aOR: 3.6, 95% CI 1.2-10.8), diarrhoeal diseases (aOR = 4.0; 95% CI 1.3-11.8), respiratory diseases (aOR: 3.4, 95% CI 1.4-8.1) and earthquake damage to house (aOR = 2.6; 95% CI 1.1-6.3). Clinical observation by care providers identified only 2 out of 112 malnutrition cases at admission and 4 out of 119 cases at discharge that were detected by the systematic anthropometric measurement.\nCONCLUSIONS: Ethnic minority, diarrhoeal diseases, respiratory infections and house damage due to the earthquake were risk factors associated with wasting. Systematic anthropometric examination can identify significantly more malnourished children than simple observation of care providers.","container-title":"Tropical Medicine and Health","DOI":"10.1186/s41182-022-00461-0","ISSN":"1348-8945","issue":"1","journalAbbreviation":"Trop Med Health","language":"eng","note":"PMID: 36114587\nPMCID: PMC9479416","page":"68","source":"PubMed","title":"Risk factors for wasting among hospitalised children in Nepal","volume":"50","author":[{"family":"Inoue","given":"Aiko"},{"family":"Dhoubhadel","given":"Bhim Gopal"},{"family":"Shrestha","given":"Dhruba"},{"family":"Raya","given":"Ganendra Bhakta"},{"family":"Hayashi","given":"Yumiko"},{"family":"Shrestha","given":"Sudeep"},{"family":"Edwards","given":"Tansy"},{"family":"Parry","given":"Christopher Martin"},{"family":"Ariyoshi","given":"Koya"},{"family":"Cox","given":"Sharon Elizabeth"}],"issued":{"date-parts":[["2022",9,16]]}}}],"schema":"https://github.com/citation-style-language/schema/raw/master/csl-citation.json"}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16</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2022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Siddhi Memorial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9B25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Nepal</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C80F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C3BC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426</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E160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6 tháng - 15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8041D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MUAC theo WHO </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69D42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Tỷ lệ gầy còm, nhẹ cân, thấp còi khi nhập viện lần lượt là 9,2%, 15.3% và 19%</w:t>
            </w:r>
          </w:p>
        </w:tc>
      </w:tr>
      <w:tr w:rsidR="00293C5C" w:rsidRPr="00FF7955" w14:paraId="39C208B8"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5726C22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7</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2E64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Ali Ahmed Al-Waleedi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{"citationID":"0OKvUDJh","properties":{"formattedCitation":"\\super 17\\nosupersub{}","plainCitation":"17","noteIndex":0},"citationItems":[{"id":1428,"uris":["http://zotero.org/users/14905191/items/X7S5M66E"],"itemData":{"id":1428,"type":"article-journal","abstract":"BACKGROUND: The analysis of acute malnutrition in 2018 for the Integrated Phase Classification of Food Security in Yemen shows that high malnutrition rates are present in Abyan governorate (23%) and Lahj governorate (21%). This analysis was community based addressed all children and mostly due to problems related to food intake. The role of diseases was not yet addressed in Yemen. The aim of this study is to assess acute and chronic malnutrition among hospitalized children at 12-59 months of age in Lahj and Abyan governorates in Yemen.\nMETHODOLOGY: A cross-sectional, multi-center study is designed. The assessment of the nutritional status was measured by standardized anthropometry of 951 sick children at 12-59 months of age.\nRESULTS: The prevalence of Global acute malnutrition (GAM) among the sick children seeking care in health facilities in Lahj and Abyan is 21%. More specifically; the prevalence of moderate acute malnutrition (MAM) is 15.1% while the prevalence of severe acute malnutrition (SAM) is 6.2%. The prevalence of acute malnutrition (wasting) among the studied sick children in lahj is 23.4% while in Abyan is 19.3%. The prevalence of MAM in Lahj is 17.7% and the prevalence of SAM is 5.7%. The prevalence of acute malnutrition (wasting) in Abyan is 12.6% while the prevalence of SAM in Abyan is 6.7%. The prevalence of acute malnutrition among male children (25.2%) is significantly higher than among female children (17.5%). The prevalence of the chronic malnutrition (Stunting) in the studied sick children is 41.3%; the prevalence of stunting in Lahj is 41% while in Abyan is 41.7%.\nCONCLUSIONS: High acute and chronic malnutrition rates were identified among sick children seeking care in health facilities in lahj and Abyan, and higher than the SPHERE indicators of malnutrition. Boys are more exposed than girls to acute and chronic malnutrition.","container-title":"BMC nutrition","DOI":"10.1186/s40795-022-00574-z","ISSN":"2055-0928","issue":"1","journalAbbreviation":"BMC Nutr","language":"eng","note":"PMID: 35962407\nPMCID: PMC9373284","page":"78","source":"PubMed","title":"Malnutrition among hospitalized children 12-59 months of age in Abyan and Lahj Governorates / Yemen","volume":"8","author":[{"family":"Al-Waleedi","given":"Ali Ahmed"},{"family":"Bin-Ghouth","given":"Abdulla Salem"}],"issued":{"date-parts":[["2022",8,12]]}}}],"schema":"https://github.com/citation-style-language/schema/raw/master/csl-citation.json"}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17</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77F2C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Các cơ sở y tế ở Lahj và Abyan</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A7C3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Yemen</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6CFB0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 đa trung tâm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68D8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951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0ACB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12-59 tháng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FC50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MUAC theo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736E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Tỷ lệ SDD cấp tính là 21%. Cụ thể, tỷ lệ SDD cấp tính vừa là 15,1%, SDD cấp tính nặng là 6,2%. Tỷ lệ SDD mãn tính (thể thấp còi) là 41,3%</w:t>
            </w:r>
          </w:p>
        </w:tc>
      </w:tr>
      <w:tr w:rsidR="00293C5C" w:rsidRPr="00FF7955" w14:paraId="6D149030" w14:textId="77777777" w:rsidTr="00A1467B">
        <w:trPr>
          <w:trHeight w:val="1092"/>
          <w:jc w:val="center"/>
        </w:trPr>
        <w:tc>
          <w:tcPr>
            <w:tcW w:w="456" w:type="dxa"/>
            <w:tcBorders>
              <w:top w:val="single" w:sz="8" w:space="0" w:color="000000"/>
              <w:left w:val="single" w:sz="8" w:space="0" w:color="000000"/>
              <w:bottom w:val="single" w:sz="8" w:space="0" w:color="000000"/>
              <w:right w:val="single" w:sz="8" w:space="0" w:color="000000"/>
            </w:tcBorders>
          </w:tcPr>
          <w:p w14:paraId="63D55BA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9E33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Suchaorn Saengnipanthkul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{"citationID":"DDcEZDmv","properties":{"formattedCitation":"\\super 18\\nosupersub{}","plainCitation":"18","noteIndex":0},"citationItems":[{"id":1431,"uris":["http://zotero.org/users/14905191/items/MUMHDF5K"],"itemData":{"id":1431,"type":"article-journal","abstract":"OBJECTIVES: Malnutrition in hospitalized patients is a frequently overlooked health issue. We aimed to assess the prevalence and pattern of nutritional disorders in hospitalized Thai children from the National Health Database.\nMETHODS: Hospitalized children aged 1 month to 18 years diagnosed with nutritional disorders between 2015 and 2019 were retrospectively reviewed using the National Health Security Office data. Based on the International Classification of Diseases, 10th revision, Clinical Modification, nutritional disorders were classified into 3 major forms of malnutrition: undernutrition (E40-E46), overweight and obesity (E66), and micronutrient deficiencies (D50-D53, E50-E56, E58, E60-E61, and E63).\nRESULTS: Out of 5,188,033 hospitalized children, malnutrition was identified in 115,254 (2.2%). Protein-energy malnutrition (PEM), overweight and obesity, and micronutrient deficiencies were prevalent in 0.21%, 0.27%, and 1.81%, respectively. Among those with micronutrient deficiencies, 95.0% had iron deficiency anemia, 2.2% had vitamin D deficiency, and 0.7% had zinc deficiency. Children aged under 5 years mostly had PEM, followed by iron deficiency anemia. Teenagers commonly had obesity and vitamin D deficiency. Patients with PEM who were admitted with common diseases had significantly longer hospital stays and higher hospital costs and mortality rates than those without PEM.\nCONCLUSIONS: Hospitalized children had various nutritional disorders, particularly PEM, which was associated with higher morbidity and mortality. Nutritional screening tools should be utilized for the early detection and treatment of malnutrition. Specific International Classification of Diseases codes for nutritional care services and intervention should be available. Additionally, nutritional interventions should be reimbursed, along with nutritional education and empowerment of healthcare providers, to improve hospital care service and improve patient outcomes.","container-title":"Epidemiology and Health","DOI":"10.4178/epih.e2022047","ISSN":"2092-7193","journalAbbreviation":"Epidemiol Health","language":"eng","note":"PMID: 35609881\nPMCID: PMC9684013","page":"e2022047","source":"PubMed","title":"Epidemiological data on nutritional disorders and outcomes in hospitalized Thai children: an analysis of data from the National Health Database 2015-2019","title-short":"Epidemiological data on nutritional disorders and outcomes in hospitalized Thai children","volume":"44","author":[{"family":"Saengnipanthkul","given":"Suchaorn"},{"family":"Phosuwattanakul","given":"Jeeraparn"},{"family":"Thepsuthammarat","given":"Kaewjai"},{"family":"Chongviriyaphan","given":"Nalinee"}],"issued":{"date-parts":[["2022"]]}}}],"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18</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EB51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Cơ sở dữ liệu Y tế Quốc gia giai đoạn 2015-2019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6BDE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Thái Lan</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F17E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42D5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5.188.033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B4BB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3F29D" w14:textId="77777777" w:rsidR="00FF7955" w:rsidRPr="00FF7955" w:rsidRDefault="00FF7955" w:rsidP="00FF7955">
            <w:pPr>
              <w:pStyle w:val="Tiu"/>
              <w:spacing w:after="0"/>
              <w:ind w:right="-1" w:firstLine="0"/>
              <w:jc w:val="left"/>
              <w:rPr>
                <w:b w:val="0"/>
                <w:noProof/>
                <w:sz w:val="24"/>
                <w:szCs w:val="24"/>
              </w:rPr>
            </w:pP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F29A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SDD protein-năng lượng là 0,21%</w:t>
            </w:r>
          </w:p>
          <w:p w14:paraId="3C2EDE5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Thừa cân - béo phì là 0,27%</w:t>
            </w:r>
          </w:p>
        </w:tc>
      </w:tr>
      <w:tr w:rsidR="00293C5C" w:rsidRPr="00FF7955" w14:paraId="25F14287"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48EC607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9</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3CDB8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Rediet Woldesenbet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{"citationID":"E8vYI4JD","properties":{"formattedCitation":"\\super 2\\nosupersub{}","plainCitation":"2","noteIndex":0},"citationItems":[{"id":1392,"uris":["http://zotero.org/users/14905191/items/IM7ZM28J"],"itemData":{"id":1392,"type":"article-journal","abstract":"BACKGROUND: Children with congenital heart disease are at risk for poor growth and under-nutrition compared with healthy children. The aim of this study was to assess the nutritional status of children with congenital heart disease and associated factors in selected governmental hospitals and cardiac center Addis Ababa, Ethiopia.\nMETHOD: Institutional based cross sectional study among 373 children aged under15 years was conducted from February to March; 2021G.c. Data was collected using structured questionnaire and chart review. Z-scores based on WHO reference ranges were used. Anthropometric z-scores based on WHO 2007 reference ranges were generated for each child. Weight-for-age z-scores for children 0-10 years and height-for-age and BMI-for-age z-scores for all children. Binary logistic regression was used for associated factors.\nRESULT: A total of 373 children were participated in this study. The prevalence of wasting and stunting was 144(38.6%) and 134(35.9%) respectively. The prevalence of underweight and malnutrition in children under 10 years was 143(43.1%). Most of the children were diagnosed with VSD (36.7%). Children age group of 13 months-5 years were associated with wasting and underweight [AOR = 0.434, 95%CI: (0.231, 0.816)] and [AOR = 0.360, 95%CI: (0.183, 0.711)] respectively. Children diagnosed with PAH were 1.885 times more likely to be underweight [AOR = 1.885, 95%CI: (1.094, 3.246)]. When the hemoglobin level increases by every unit per g/dl the chance to be wasting and underweight decreases by 13.1 and 18.6%[AOR = 0.869, 95%CI: (0.792, 0.955)] and [AOR = 0.869, 95%CI: (0.792, 0.955)] respectively. The level of SPO2 is associated with stunting and underweight [AOR = 0.970, 95%CI: (0.943, 0.998)] and [AOR = 0.970, 95%CI: (0.943, 0.998)] respectively.\nCONCLUSION: The prevalence of malnutrition in children with CHD is pretty high. Decreased level of hemoglobin and SPO2 was found to be associated factors for malnutrition in this case. There need to be a new strategy about including different health professional while care giving.","container-title":"BMC pediatrics","DOI":"10.1186/s12887-021-03023-1","ISSN":"1471-2431","issue":"1","journalAbbreviation":"BMC Pediatr","language":"eng","note":"PMID: 34856935\nPMCID: PMC8638350","page":"538","source":"PubMed","title":"Nutritional status and associated factors among children with congenital heart disease in selected governmental hospitals and cardiac center,Addis Ababa Ethiopia","volume":"21","author":[{"family":"Woldesenbet","given":"Rediet"},{"family":"Murugan","given":"Rajalakshmi"},{"family":"Mulugeta","given":"Feven"},{"family":"Moges","given":"Tamirat"}],"issued":{"date-parts":[["2021",12,2]]}}}],"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F2D1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Các bệnh viện công và trung tâm tim mạch</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119F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Addis Ababa, Ethiopia</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E712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6A24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373 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C6CD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&lt; 15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82EE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D042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mắc bệnh tim bẩm sinh có tỷ lệ SDD  thể gầy còm, thấp còi, nhẹ cân lần lượt 38,6% và 35,9% và 43,1%</w:t>
            </w:r>
          </w:p>
          <w:p w14:paraId="7A4436A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béo phì là 8,3%</w:t>
            </w:r>
          </w:p>
        </w:tc>
      </w:tr>
      <w:tr w:rsidR="00293C5C" w:rsidRPr="00FF7955" w14:paraId="02F5DF59"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33920A8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10</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B0D4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Bruk Assefa và cs (2020)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{"citationID":"WeG6Dguh","properties":{"formattedCitation":"\\super 19\\nosupersub{}","plainCitation":"19","noteIndex":0},"citationItems":[{"id":1437,"uris":["http://zotero.org/users/14905191/items/DT42STN5"],"itemData":{"id":1437,"type":"article-journal","abstract":"BACKGROUND: Children with Congenital Heart Disease (CHD) are at increased risk for severe acute malnutrition (SAM). We aimed to determine the magnitude and determinants of SAM among children with CHD in a tertiary hospital.\nMETHODS: Retrospective cross-sectional study was conducted among children with CHD between 2016 and 2019. Clinical and anthropometric data were retrieved from medical records. Anthropometric assessment was done by using WHO standard growth curves. Data analysis was done using Statistical Package for Social Sciences V22. Statistical significance was set at p-value &lt;0.05, and multivariable logistic regression was used to determine predictors.\nRESULTS: There were 2400 pediatric admissions during the study period, CHD accounted for 6.5%(156) of admissions. For review, 141 records were eligible. The gender distribution was comparable, males 51.1% (72). Infants (&lt;12 months) and older children (≥12 months) accounted for 57.4% (81) and 42.6% (60) of study subjects, respectively. SAM was documented in 51.8% (73) of the study subjects, [95% CI: 44.7-60.2]. Infants had higher odds of SAM compared to children aged ≥12 months[adjusted odds ratio (AOR)= 4.48, 95%CI:2.07-9.70]. Anemic children had higher odds for SAM[AOR =3.76, 95% CI:1.54-9.18]. Children without acyanotic CHD with heart failure(HF) were 58% less likely to develop SAM[AOR= 0.42, 95% CI:0.19-0.96].\nCONCLUSION: The burden of SAM among children with CHD is high. Younger age, anemia and acyanotic CHD with HF predicted SAM. Screening for anemia and targeted anthropometric assessment are recommended for early SAM detection.","container-title":"Ethiopian Journal of Health Sciences","DOI":"10.4314/ejhs.v30i5.9","ISSN":"2413-7170","issue":"5","journalAbbreviation":"Ethiop J Health Sci","language":"eng","note":"PMID: 33911831\nPMCID: PMC8047271","page":"707-714","source":"PubMed","title":"Severe Acute Malnutrition among Unoperated Ethiopian Children with Congenital Heart Disease: A Wake-up Call to Reverse the Situation, A Retrospective Cross-Sectional Study","title-short":"Severe Acute Malnutrition among Unoperated Ethiopian Children with Congenital Heart Disease","volume":"30","author":[{"family":"Assefa","given":"Bruk"},{"family":"Tadele","given":"Henok"}],"issued":{"date-parts":[["2020",9]]}}}],"schema":"https://github.com/citation-style-language/schema/raw/master/csl-citation.json"}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19</w:t>
            </w:r>
            <w:r w:rsidRPr="00FF7955">
              <w:rPr>
                <w:b w:val="0"/>
                <w:noProof/>
                <w:sz w:val="24"/>
                <w:szCs w:val="24"/>
                <w:vertAlign w:val="superscript"/>
              </w:rPr>
              <w:fldChar w:fldCharType="end"/>
            </w:r>
            <w:r w:rsidRPr="00FF7955">
              <w:rPr>
                <w:b w:val="0"/>
                <w:noProof/>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2918A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tuyến ba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3EA4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Hawassa, Ethiopia</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E97C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28BA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141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4935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 tháng - 14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F5F67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DA02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Trong số trẻ mắc bệnh tim bẩm sinh, tỷ lệ SDD cấp tính nặng là 51,8%. Tỷ lệ SDD thấp còi là 29,8%, nhẹ cân là 49,6%, gầy còm là 63%.</w:t>
            </w:r>
          </w:p>
        </w:tc>
      </w:tr>
      <w:tr w:rsidR="00293C5C" w:rsidRPr="00FF7955" w14:paraId="34957E7D"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2D86116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11</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58AF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Ying Zheng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{"citationID":"2JPWAPVt","properties":{"formattedCitation":"\\super 20\\nosupersub{}","plainCitation":"20","noteIndex":0},"citationItems":[{"id":1440,"uris":["http://zotero.org/users/14905191/items/R46LCNQF"],"itemData":{"id":1440,"type":"article-journal","abstract":"BACKGROUND AND OBJECTIVES: Congenital heart disease (CHD) is the common congenital malformations in children and cause malnutrition. We determine the association between dietary nutrient intake and nutritional status of children with CHD.\nMETHODS AND STUDY DESIGN: 428 children of age 1-10 years with CHD admitted. The dietary nutrient intake was recorded after 3 days of 24-h recall. The growth and nutritional status of children were evaluated using anthropometric measurements and z-scores.\nRESULTS: The prevalence of malnutrition was 37.6% in CHD. 57.8%, 12.6%, 43.8%, and 40.6% of children did not meet their requirements for energy, protein, fat, and carbohydrate, respectively. The prevalence of insufficient intake was 88.3% for calcium, 35.9% for magnesium, 21.9% for iron, and 12.5% for zinc. 15%-86% of children did not meet vitamin requirements. 85.2% and 53.9% of children did not meet their requirements for vitamin A and vitamin C. The prevalence of insufficient intake was 39.1% for thiamin, 24.2% for riboflavin, 15.6% for niacin and 28.1% for vitamin E. Compared with the normal nutrition group, malnutrition group had a relatively lower intake of proteins, iron, zinc and vitamin E.\nCONCLUSIONS: An obvious deficiency of dietary nutrient intake was found among children with CHD, especially CHD with malnutrition. Dietary intake related to the nutritional status of children with CHD. The gap between actual consumption and recommendation indicates a need for improved nutritional counseling and monitoring. Early interventions targeting the dietary intakes of children with CHD may be a benefit for long-term effects associated with nutritional status.","container-title":"Asia Pacific Journal of Clinical Nutrition","DOI":"10.6133/apjcn.202209_31(3).0019","ISSN":"1440-6047","issue":"3","journalAbbreviation":"Asia Pac J Clin Nutr","language":"eng","note":"PMID: 36173223","page":"520-525","source":"PubMed","title":"Assessment of dietary nutrient intake and its relationship to the nutritional status of children with congenital heart disease in Guangdong province of China","volume":"31","author":[{"family":"Zheng","given":"Ying"},{"family":"Yang","given":"Liping"},{"family":"Wu","given":"Ziying"},{"family":"Zhu","given":"Huilian"},{"family":"Xiao","given":"Benxi"},{"family":"Li","given":"Zhen"},{"family":"Li","given":"Yuanhong"},{"family":"Ma","given":"Wenjun"}],"issued":{"date-parts":[["2022"]]}}}],"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20</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1C0B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Nhân dân tỉnh Quảng Đông</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BC85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Trung Quốc</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05AA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1F42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428</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19F3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1-10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6E43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DDF1E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mắc bệnh tim bẩm sinh có tỷ lệ SDD là 37,6%</w:t>
            </w:r>
          </w:p>
        </w:tc>
      </w:tr>
      <w:tr w:rsidR="00293C5C" w:rsidRPr="00FF7955" w14:paraId="623750FF"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66223FE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12</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A472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Raquel Revuelta Iniesta và cs (2019)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{"citationID":"OgGarfoQ","properties":{"formattedCitation":"\\super 21\\nosupersub{}","plainCitation":"21","noteIndex":0},"citationItems":[{"id":1442,"uris":["http://zotero.org/users/14905191/items/QWK4X6QL"],"itemData":{"id":1442,"type":"article-journal","abstract":"BACKGROUND AND AIMS: Malnutrition (under and overnutrition) in paediatric cancer patients during and after treatment increases short and long-term side-effects; however, factors contributing to malnutrition and patterns of change in nutritional status are still unclear. The aims were to investigate the prevalence of malnutrition, patterns of change in nutritional status and factors contributing to malnutrition in Scottish paediatric cancer patients.\nMETHODS: A prospective cohort study of Scottish children aged &lt;18 years, diagnosed with and treated for cancer between Aug 2010 and Jan 2014 was performed. Clinical and nutritional data were collected at defined periods up to 36 months. Measurements of weight and height/length and arm anthropometry (mid-upper arm circumference (MUAC) and triceps skin-fold thickness (TSF)) were collected. Body composition was estimated from arm anthropometry using Frisancho's references and bio-electrical impedance (BIA). Malnutrition was defined according to UK BMI curves; undernutrition (&lt;2.3rd centile; -2 SD), overweight (≥85th &lt; 95th centile; ≥+1.05 SD &lt; 1.63 SD) and obese (≥95th centile; ≥1.63 SD). We performed descriptive statistics and multilevel analysis. p &lt; 0.05 was considered statistically significant.\nRESULTS: Eighty-two patients [median (IQR) age 3.9 (1.9-8.8) years; 56% males] were recruited. At diagnosis, the prevalence of undernutrition was 13%, overweight 7% and obesity 15%. TSF identified the highest prevalence of undernutrition (15%) and the lowest of obesity (1%). BMI [p &lt; 0.001; 95% CI (1.31-3.47)] and FM (BIA) [p &lt; 0.05; 95% CI (0.006-0.08)] significantly increased after 3 months of treatment, whilst FFM (BIA) [p &lt; 0.05; 95% CI (-0.78 to (-0.01))] significantly decreased during the first three months and these patterns remained until the end of the study. High-treatment risk significantly contributed to undernutrition during the first three months of treatment [p = 0.04; 95% CI (-16.8 to (-0.4))] and solid tumours had the highest prevalence of undernutrition [BMI (17%)].\nCONCLUSIONS: Arm anthropometry (or BIA) alongside appropriate nutritional treatment that targets undernutrition initially and overnutrition at later stages should be implemented in routine clinical practice of paediatric cancer patients.","container-title":"Clinical nutrition ESPEN","DOI":"10.1016/j.clnesp.2019.04.006","ISSN":"2405-4577","journalAbbreviation":"Clin Nutr ESPEN","language":"eng","note":"PMID: 31221298","page":"96-106","source":"PubMed","title":"Nutritional status of children and adolescents with cancer in Scotland: A prospective cohort study","title-short":"Nutritional status of children and adolescents with cancer in Scotland","volume":"32","author":[{"family":"Revuelta Iniesta","given":"Raquel"},{"family":"Paciarotti","given":"Ilenia"},{"family":"Davidson","given":"Isobel"},{"family":"McKenzie","given":"Jane M."},{"family":"Brougham","given":"Mark F. H."},{"family":"Wilson","given":"David C."}],"issued":{"date-parts":[["2019",8]]}}}],"schema":"https://github.com/citation-style-language/schema/raw/master/csl-citation.json"}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21</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7780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Nhi Hoàng gia và Bệnh viện Ninewells </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14A9D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Scotland</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47C5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tiến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2EA4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82</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2630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&lt;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DD2CE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Biểu đồ tăng trưởng của Vương quốc Anh </w:t>
            </w:r>
            <w:r w:rsidRPr="00FF7955">
              <w:rPr>
                <w:b w:val="0"/>
                <w:noProof/>
                <w:sz w:val="24"/>
                <w:szCs w:val="24"/>
              </w:rPr>
              <w:fldChar w:fldCharType="begin"/>
            </w:r>
            <w:r w:rsidRPr="00FF7955">
              <w:rPr>
                <w:b w:val="0"/>
                <w:noProof/>
                <w:sz w:val="24"/>
                <w:szCs w:val="24"/>
              </w:rPr>
              <w:instrText xml:space="preserve"> ADDIN ZOTERO_ITEM CSL_CITATION {"citationID":"8fiVYdSo","properties":{"formattedCitation":"\\super 22\\nosupersub{}","plainCitation":"22","noteIndex":0},"citationItems":[{"id":1444,"uris":["http://zotero.org/users/14905191/items/IJJ7ZF2I"],"itemData":{"id":1444,"type":"article-journal","abstract":"Reference curves for stature and weight in British children have been available for the past 30 years, and have recently been updated. However weight by itself is a poor indicator of fatness or obesity, and there has never been a corresponding set of reference curves to assess weight for height. Body mass index (BMI) or weight/height has been popular for assessing obesity in adults for many years, but its use in children has developed only recently. Here centile curves for BMI in British children are presented, from birth to 23 years, based on the same large representative sample as used to update the stature and weight references. The charts were derived using Cole's LMS method, which adjusts the BMI distribution for skewness and allows BMI in individual subjects to be expressed as an exact centile or SD score. Use of the charts in clinical practice is aided by the provision of nine centiles, where the two extremes identify the fattest and thinnest four per 1000 of the population.","container-title":"Archives of Disease in Childhood","DOI":"10.1136/adc.73.1.25","ISSN":"1468-2044","issue":"1","journalAbbreviation":"Arch Dis Child","language":"eng","note":"PMID: 7639544\nPMCID: PMC1511150","page":"25-29","source":"PubMed","title":"Body mass index reference curves for the UK, 1990","volume":"73","author":[{"family":"Cole","given":"T. J."},{"family":"Freeman","given":"J. V."},{"family":"Preece","given":"M. A."}],"issued":{"date-parts":[["1995",7]]}}}],"schema":"https://github.com/citation-style-language/schema/raw/master/csl-citation.json"} </w:instrText>
            </w:r>
            <w:r w:rsidRPr="00FF7955">
              <w:rPr>
                <w:b w:val="0"/>
                <w:noProof/>
                <w:sz w:val="24"/>
                <w:szCs w:val="24"/>
              </w:rPr>
              <w:fldChar w:fldCharType="separate"/>
            </w:r>
            <w:r w:rsidRPr="00FF7955">
              <w:rPr>
                <w:b w:val="0"/>
                <w:noProof/>
                <w:sz w:val="24"/>
                <w:szCs w:val="24"/>
              </w:rPr>
              <w:t>22</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15AD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Trong số trẻ được chẩn đoán mắc bệnh ung thư, tỷ lệ SDD là 13%. </w:t>
            </w:r>
          </w:p>
          <w:p w14:paraId="36D69C4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béo phì là 22%.</w:t>
            </w:r>
          </w:p>
        </w:tc>
      </w:tr>
      <w:tr w:rsidR="00293C5C" w:rsidRPr="00FF7955" w14:paraId="669B2C1A"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7F2B3FB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13</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38641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Orsolya Kadenczki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{"citationID":"2GINAKKc","properties":{"formattedCitation":"\\super 23\\nosupersub{}","plainCitation":"23","noteIndex":0},"citationItems":[{"id":1447,"uris":["http://zotero.org/users/14905191/items/V98HJTLJ"],"itemData":{"id":1447,"type":"webpage","title":"Prevalence of Undernutrition and Effect of Body Weight Loss on Survival among Pediatric Cancer Patients in Northeastern Hungary - PubMed","URL":"https://pubmed.ncbi.nlm.nih.gov/33557419/","accessed":{"date-parts":[["2024",9,20]]}}}],"schema":"https://github.com/citation-style-language/schema/raw/master/csl-citation.json"}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23</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39B2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Khoa Nhi Đại học Debrecen</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3B26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Hungary</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0231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Quan sát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EDEA2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174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C2BF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E6D4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Z-score WHO và IBW </w:t>
            </w:r>
            <w:r w:rsidRPr="00FF7955">
              <w:rPr>
                <w:b w:val="0"/>
                <w:noProof/>
                <w:sz w:val="24"/>
                <w:szCs w:val="24"/>
              </w:rPr>
              <w:fldChar w:fldCharType="begin"/>
            </w:r>
            <w:r w:rsidRPr="00FF7955">
              <w:rPr>
                <w:b w:val="0"/>
                <w:noProof/>
                <w:sz w:val="24"/>
                <w:szCs w:val="24"/>
              </w:rPr>
              <w:instrText xml:space="preserve"> ADDIN ZOTERO_ITEM CSL_CITATION {"citationID":"DQ62LOQZ","properties":{"formattedCitation":"\\super 24\\nosupersub{}","plainCitation":"24","noteIndex":0},"citationItems":[{"id":1450,"uris":["http://zotero.org/users/14905191/items/HNN6NW8F"],"itemData":{"id":1450,"type":"webpage","title":"Ideal body weight: A commentary - Clinical Nutrition ESPEN","URL":"https://clinicalnutritionespen.com/article/S2405-4577(21)01084-6/abstract","accessed":{"date-parts":[["2024",9,20]]}}}],"schema":"https://github.com/citation-style-language/schema/raw/master/csl-citation.json"} </w:instrText>
            </w:r>
            <w:r w:rsidRPr="00FF7955">
              <w:rPr>
                <w:b w:val="0"/>
                <w:noProof/>
                <w:sz w:val="24"/>
                <w:szCs w:val="24"/>
              </w:rPr>
              <w:fldChar w:fldCharType="separate"/>
            </w:r>
            <w:r w:rsidRPr="00FF7955">
              <w:rPr>
                <w:b w:val="0"/>
                <w:noProof/>
                <w:sz w:val="24"/>
                <w:szCs w:val="24"/>
              </w:rPr>
              <w:t>24</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2330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Trong số bệnh nhi ung thư, tỷ lệ SDD theo cân nặng cơ thể, cân nặng/chiều cao và chỉ số khối cơ thể (BMI) Z-score lần lượt là 5,0%, 4,6% và 4,0%.</w:t>
            </w:r>
          </w:p>
          <w:p w14:paraId="004B5F7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SDD là 30,5% khi sử dụng phần trăm cân nặng cơ thể lý tưởng (IBW%).</w:t>
            </w:r>
          </w:p>
        </w:tc>
      </w:tr>
      <w:tr w:rsidR="00293C5C" w:rsidRPr="00FF7955" w14:paraId="2A188466"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69F7DEA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14</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5828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Wanélia Vieira Afonso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{"citationID":"H62OGRJh","properties":{"formattedCitation":"\\super 25\\nosupersub{}","plainCitation":"25","noteIndex":0},"citationItems":[{"id":1452,"uris":["http://zotero.org/users/14905191/items/8WDDZVCB"],"itemData":{"id":1452,"type":"article-journal","abstract":"BACKGROUND: Methods for assessing nutritional status in children and adolescents with cancer is a difficult in clinical practice. The study aimed to evaluate the performance of Subjective Global Nutritional Assessment (SGNA) in predicting clinical outcomes in children and adolescents with cancer in Brazil.\nMETHODS: This was a prospective cohort multicenter study. It was included 723 children and adolescents with cancer aged 2-18 years between March 2018 and August 2019. Nutritional assessment was performed according to World Health Organization recommendations and using SGNA within 48h of hospitalization. Unplanned readmission, length of hospital stay, and post-discharge death were analyzed. Cohen's kappa coefficient was used to ascertain the agreement between body mass index for age (BMI/A) and SGNA. The sensitivity, specificity, positive and negative predictive values, and accuracy of SGNA were estimated. Odds ratios (ORs) with 95% confidence intervals (CIs) were evaluated using multiple logistic regression.\nRESULTS: The mean patient age was 9.4 ± 4.9 years. SGNA showed that 29.7% (n = 215) and 6.5% (n = 47) patients had moderate and severe malnutrition, respectively. Considering the concurrent validity criterion, SGNA had an OR (95% CI) of 6.8 (3.1-14.9) for predicting low and very low weight for age at admission, with a sensitivity and specificity of 72.4% (59%-82.1%) and 72% (64.2%-78.9%), respectively. SGNA could predict death in children with severe/moderate malnutrition, with an accuracy of 63.8% (63%-65.1%). Logistic multivariate analysis showed that the adjusted effect of death; hematological tumor; living in the northeast, southeast, and midwest regions of Brazil; and older age was associated with malnutrition according to SGNA.\nCONCLUSION: Based on concurrent validity between SGNA and anthropometry, SGNA performed well and had a good ability to predict death in Brazilian children with cancer.","container-title":"Cancer Medicine","DOI":"10.1002/cam4.4837","ISSN":"2045-7634","issue":"23","journalAbbreviation":"Cancer Med","language":"eng","note":"PMID: 35645320\nPMCID: PMC9741974","page":"4612-4623","source":"PubMed","title":"Performance of subjective global nutritional assessment in predicting clinical outcomes: Data from the Brazilian survey of pediatric oncology nutrition","title-short":"Performance of subjective global nutritional assessment in predicting clinical outcomes","volume":"11","author":[{"family":"Afonso","given":"Wanélia Vieira"},{"family":"Peres","given":"Wilza Arantes Ferreira"},{"family":"Pinho","given":"Nivaldo Barroso","non-dropping-particle":"de"},{"family":"Schilithz","given":"Arthur Orlando Corrêa"},{"family":"Martucci","given":"Renata Brum"},{"family":"Rodrigues","given":"Viviane Dias"},{"family":"Nascimento","given":"Barbara Folino"},{"family":"Moreira","given":"Carolina Ferraz Figueiredo"},{"family":"Carvalho Padilha","given":"Patricia","non-dropping-particle":"de"}],"issued":{"date-parts":[["2022",12]]}}}],"schema":"https://github.com/citation-style-language/schema/raw/master/csl-citation.json"}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25</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DA1C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13 đơn vị ung thư chuyên khoa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0336B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Brazil</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7D16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tiến cứu đa trung tâm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8D64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723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1195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0502C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SGNA </w:t>
            </w:r>
            <w:r w:rsidRPr="00FF7955">
              <w:rPr>
                <w:b w:val="0"/>
                <w:noProof/>
                <w:sz w:val="24"/>
                <w:szCs w:val="24"/>
              </w:rPr>
              <w:fldChar w:fldCharType="begin"/>
            </w:r>
            <w:r w:rsidRPr="00FF7955">
              <w:rPr>
                <w:b w:val="0"/>
                <w:noProof/>
                <w:sz w:val="24"/>
                <w:szCs w:val="24"/>
              </w:rPr>
              <w:instrText xml:space="preserve"> ADDIN ZOTERO_ITEM CSL_CITATION {"citationID":"0cF4a8zl","properties":{"formattedCitation":"\\super 26\\nosupersub{}","plainCitation":"26","noteIndex":0},"citationItems":[{"id":1455,"uris":["http://zotero.org/users/14905191/items/885QWHRT"],"itemData":{"id":1455,"type":"article-journal","abstract":"Subjective Global Assessment (SGA) is a method for evaluating nutritional status based on a practitioner's clinical judgment rather than objective, quantitative measurements. Encompassing historical, symptomatic, and physical parameters, SGA aims to identify an individual's initial nutrition state and consider the interplay of factors influencing the progression or regression of nutrition abnormalities. SGA has been widely used for more than 25 years to assess the nutritional status of adults in both clinical and research settings. Perceiving multiple benefits of its use in children, we recently adapted and validated the SGA tool for use in a pediatric population, demonstrating its ability to identify the nutritional status of children undergoing surgery and their risk of developing nutrition-associated complications postoperatively. Objective measures of nutritional status, on the other hand, showed no association with outcomes. The purpose of this article is to describe in detail the methods used in conducting nutrition-focused physical examinations and the medical history components of a pediatric Subjective Global Nutritional Assessment tool. Guidelines are given for performing and interpreting physical examinations that look for evidence of loss of subcutaneous fat, muscle wasting, and/or edema in children of different ages. Age-related questionnaires are offered to guide history taking and the rating of growth, weight changes, dietary intake, gastrointestinal symptoms, functional capacity, and any metabolic stress. Finally, the associated rating form is provided, along with direction for how to consider all components of a physical exam and history in the context of each other, to assign an overall rating of normal/well nourished, moderate malnutrition, or severe malnutrition. With this information, interested health professionals will be able to perform Subjective Global Nutritional Assessment to determine a global rating of nutritional status for infants, children, and adolescents, and use this rating to guide decision making about what nutrition-related attention is necessary. Dietetics practitioners and other clinicians are encouraged to incorporate physical examination for signs of protein-energy depletion when assessing the nutritional status of children.","container-title":"Journal of the Academy of Nutrition and Dietetics","DOI":"10.1016/j.jada.2011.08.039","ISSN":"2212-2672","issue":"3","journalAbbreviation":"J Acad Nutr Diet","language":"eng","note":"PMID: 22717202","page":"424-431.e6","source":"PubMed","title":"How to perform Subjective Global Nutritional assessment in children","volume":"112","author":[{"family":"Secker","given":"Donna J."},{"family":"Jeejeebhoy","given":"Khursheed N."}],"issued":{"date-parts":[["2012",3]]}}}],"schema":"https://github.com/citation-style-language/schema/raw/master/csl-citation.json"} </w:instrText>
            </w:r>
            <w:r w:rsidRPr="00FF7955">
              <w:rPr>
                <w:b w:val="0"/>
                <w:noProof/>
                <w:sz w:val="24"/>
                <w:szCs w:val="24"/>
              </w:rPr>
              <w:fldChar w:fldCharType="separate"/>
            </w:r>
            <w:r w:rsidRPr="00FF7955">
              <w:rPr>
                <w:b w:val="0"/>
                <w:noProof/>
                <w:sz w:val="24"/>
                <w:szCs w:val="24"/>
              </w:rPr>
              <w:t>26</w:t>
            </w:r>
            <w:r w:rsidRPr="00FF7955">
              <w:rPr>
                <w:b w:val="0"/>
                <w:noProof/>
                <w:sz w:val="24"/>
                <w:szCs w:val="24"/>
              </w:rPr>
              <w:fldChar w:fldCharType="end"/>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7872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Trong số trẻ mắc bệnh ung thư, SGNA cho thấy tỉ lệ SDD vừa và nặng là 29,7% và 6,5%.</w:t>
            </w:r>
          </w:p>
        </w:tc>
      </w:tr>
      <w:tr w:rsidR="00293C5C" w:rsidRPr="00FF7955" w14:paraId="332D22F1"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099C191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15</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A7D1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Hardenson Rodríguez González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{"citationID":"gmFYPhDU","properties":{"formattedCitation":"\\super 27\\nosupersub{}","plainCitation":"27","noteIndex":0},"citationItems":[{"id":1457,"uris":["http://zotero.org/users/14905191/items/RTGTCRUT"],"itemData":{"id":1457,"type":"webpage","title":"Malnutrition in paediatric patients with leukaemia and lymphoma: a retrospective cohort study - PubMed","URL":"https://pubmed.ncbi.nlm.nih.gov/35211196/","accessed":{"date-parts":[["2024",9,20]]}}}],"schema":"https://github.com/citation-style-language/schema/raw/master/csl-citation.json"}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27</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E968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Nhi San Vicente</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0ABF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Colombia</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51885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8E74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191</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FE191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&lt;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154FF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96A9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Trong số trẻ được chẩn đoán mắc bệnh ác tính máu lympho, 6,8% bị SDD.</w:t>
            </w:r>
          </w:p>
          <w:p w14:paraId="416AA44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- 9,4% trẻ bị thừa cân - béo phì.</w:t>
            </w:r>
          </w:p>
        </w:tc>
      </w:tr>
      <w:tr w:rsidR="00293C5C" w:rsidRPr="00FF7955" w14:paraId="635239D5"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65A247A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16</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38BD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Gülhan Karakaya Molla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{"citationID":"xXYRjJHt","properties":{"formattedCitation":"\\super 28\\nosupersub{}","plainCitation":"28","noteIndex":0},"citationItems":[{"id":1459,"uris":["http://zotero.org/users/14905191/items/WLIHWY2V"],"itemData":{"id":1459,"type":"webpage","title":"Evaluation of nutritional status in pediatric patients diagnosed with Covid-19 infection - PubMed","URL":"https://pubmed.ncbi.nlm.nih.gov/34330500/","accessed":{"date-parts":[["2024",9,20]]}}}],"schema":"https://github.com/citation-style-language/schema/raw/master/csl-citation.json"}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28</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7829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thành phố Ankara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9A383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Thổ Nhĩ Kỳ</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A9F5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0C4C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49</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8A6E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8E69B" w14:textId="77777777" w:rsidR="00FF7955" w:rsidRPr="00FF7955" w:rsidRDefault="00FF7955" w:rsidP="00FF7955">
            <w:pPr>
              <w:pStyle w:val="Tiu"/>
              <w:spacing w:after="0"/>
              <w:ind w:right="-1" w:firstLine="0"/>
              <w:jc w:val="left"/>
              <w:rPr>
                <w:b w:val="0"/>
                <w:noProof/>
                <w:sz w:val="24"/>
                <w:szCs w:val="24"/>
              </w:rPr>
            </w:pP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63A2B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Trong số 49 bệnh nhi được chẩn đoán mắc Covid-19, tỷ lệ SDD là 3% </w:t>
            </w:r>
          </w:p>
          <w:p w14:paraId="47675C7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béo phì là 9%</w:t>
            </w:r>
          </w:p>
        </w:tc>
      </w:tr>
      <w:tr w:rsidR="00293C5C" w:rsidRPr="00FF7955" w14:paraId="60A29B51"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648197F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17</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FB4A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Semhal Getachew Teka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{"citationID":"L3jiezDn","properties":{"formattedCitation":"\\super 29\\nosupersub{}","plainCitation":"29","noteIndex":0},"citationItems":[{"id":1461,"uris":["http://zotero.org/users/14905191/items/8ZK3IDLH"],"itemData":{"id":1461,"type":"article-journal","abstract":"Introduction\nmalnutrition is a common problem in Ethiopia. Studies show malnourished children in intensive care units succumb more often to infection and death but Ethiopia has no available data to assess the prevalence of malnutrition in children admitted to pediatric Intensive Care Unit and their clinical patterns, this study was conducted to assess these variables in a tertiary hospital in Ethiopia.\n\nMethods\nthis was a retrospective cross sectional study done on 243 children, ranging from 1 month to 15 years of age, from January 2016 to December 2018. Anthropometric interpretation was done using WHO Z score charts. The assessed outcome variables were death, length of stay in pediatric intensive care unit (PICU), days on mechanical ventilator and hospital acquired infection. Collected data was entered and analyzed using SPSS 20.0 version.\n\nResults\nthe overall prevalence of wasting was 37.8% (n=92). Stunting was seen in 45.7% (n=111). Compared to well-nourished children, malnourished children were more likely to require mechanical ventilation (78.3% versus 66.2% OR-2, p=0.045), experience longer time on mechanical ventilation (10.3±13.2 days versus 6.1±7.9 days, p=0.012), develop hospital acquired infection (HAI) more often (30.4% versus 19.2%, p=0.045), and have a prolonged length of stay (10.7±16.4 days versus 6.1±8.4 days, p=0.005).\n\nConclusion\nmalnutrition in our PICU was identified to be a common cause of morbidity associated with greater need for mechanical ventilation, prolonged ventilator days, increased HAI, and longer hospital stays. Taking into consideration scarcity of resources, malnutrition imposes great burden on clinical care.","container-title":"The Pan African Medical Journal","DOI":"10.11604/pamj.2022.41.77.31284","ISSN":"1937-8688","journalAbbreviation":"Pan Afr Med J","note":"PMID: 35382053\nPMCID: PMC8956830","page":"77","source":"PubMed Central","title":"The prevalence of malnutrition during admission to the pediatric intensive care unit, a retrospective cross-sectional study at Tikur Anbessa Specialized Hospital, Addis Ababa, Ethiopia","volume":"41","author":[{"family":"Teka","given":"Semhal Getachew"},{"family":"Kebede","given":"Rahel Argaw"},{"family":"Sherman","given":"Charles"}],"issued":{"date-parts":[["2022",1,27]]}}}],"schema":"https://github.com/citation-style-language/schema/raw/master/csl-citation.json"}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29</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3117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chuyên khoa Tikur Anbessa</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0BF3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Addis Ababa, Ethiopia</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A39BE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0FCB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243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0B750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- 15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5A67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03F6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Tại PICU, tỷ lệ SDD thể gầy còm là 37,8%, thể thấp còi là 45,7%, thể nhẹ cân là 46,2%</w:t>
            </w:r>
          </w:p>
          <w:p w14:paraId="202C5AC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béo phì là 6,1%</w:t>
            </w:r>
          </w:p>
        </w:tc>
      </w:tr>
      <w:tr w:rsidR="00293C5C" w:rsidRPr="00FF7955" w14:paraId="47567941"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592D604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18</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31BD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Gabriela Rupp Hanzen Andrades và cs (2022) </w:t>
            </w:r>
            <w:r w:rsidRPr="00FF7955">
              <w:rPr>
                <w:b w:val="0"/>
                <w:noProof/>
                <w:sz w:val="24"/>
                <w:szCs w:val="24"/>
              </w:rPr>
              <w:fldChar w:fldCharType="begin"/>
            </w:r>
            <w:r w:rsidRPr="00FF7955">
              <w:rPr>
                <w:b w:val="0"/>
                <w:noProof/>
                <w:sz w:val="24"/>
                <w:szCs w:val="24"/>
              </w:rPr>
              <w:instrText xml:space="preserve"> ADDIN ZOTERO_ITEM CSL_CITATION {"citationID":"1ctdQRmI","properties":{"formattedCitation":"\\super 30\\nosupersub{}","plainCitation":"30","noteIndex":0},"citationItems":[{"id":1464,"uris":["http://zotero.org/users/14905191/items/X8YTLWWZ"],"itemData":{"id":1464,"type":"webpage","title":"Association of nutritional status with clinical outcomes of critically ill pediatric patients with complex chronic conditions - PubMed","URL":"https://pubmed.ncbi.nlm.nih.gov/36379176/","accessed":{"date-parts":[["2024",9,20]]}}}],"schema":"https://github.com/citation-style-language/schema/raw/master/csl-citation.json"} </w:instrText>
            </w:r>
            <w:r w:rsidRPr="00FF7955">
              <w:rPr>
                <w:b w:val="0"/>
                <w:noProof/>
                <w:sz w:val="24"/>
                <w:szCs w:val="24"/>
              </w:rPr>
              <w:fldChar w:fldCharType="separate"/>
            </w:r>
            <w:r w:rsidRPr="00FF7955">
              <w:rPr>
                <w:b w:val="0"/>
                <w:noProof/>
                <w:sz w:val="24"/>
                <w:szCs w:val="24"/>
              </w:rPr>
              <w:t>30</w:t>
            </w:r>
            <w:r w:rsidRPr="00FF7955">
              <w:rPr>
                <w:b w:val="0"/>
                <w:noProof/>
                <w:sz w:val="24"/>
                <w:szCs w:val="24"/>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0131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 Đại học miền Nam Brazil</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87F1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Brazil</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F8DB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Thuần tập hồi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2D482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873</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4E3D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6993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1679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Tại PICU, trong số trẻ mắc bệnh mãn tính, tỷ lệ SDD thể nhẹ cân là 19,8%. </w:t>
            </w:r>
          </w:p>
          <w:p w14:paraId="2FF0E38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trẻ thừa cân là 18,4%.</w:t>
            </w:r>
          </w:p>
        </w:tc>
      </w:tr>
      <w:tr w:rsidR="00293C5C" w:rsidRPr="00FF7955" w14:paraId="176052BB"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5B76951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19</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1A0F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Jingjing Li và cs (2020)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{"citationID":"b7TkrP6F","properties":{"formattedCitation":"\\super 3\\nosupersub{}","plainCitation":"3","noteIndex":0},"citationItems":[{"id":1395,"uris":["http://zotero.org/users/14905191/items/GYRZ75BA"],"itemData":{"id":1395,"type":"article-journal","abstract":"Background\nThe incidence of malnutrition in children, who were admitted to the pediatric intensive care unit (PICU), has kept high level over the past 30 years. In addition, nutrition status of critically ill children deteriorates further during the changing of their conditions and may have a negative effect on patients’ outcomes. This study aimed to determine the nutritional status of critically ill children and to survey current nutrition practices and support in PICU.\n\nMethods\nIn this prospective observational study, 360 critically ill children stayed in the PICU not less than 3 days from Feb. to Nov. in 2017 were enrolled. Each patient underwent nutrition assessment. Nutritional status was determined using Z-scores of length/height-for-age (HAZ), weight-for-age (WAZ), weight-for-height (WHZ), body mass index-for-age (BAZ), based on the World Health Organization child growth standards. We also observed the patients’ intake of calories and protein during the first 10 days after admission.\n\nResults\nThree hundred and sixty were enrolled in the study. One hundred and eighty-six patients (51.67%) were malnourished at PICU admission, above 50% and 56.45% (105/186) of malnourished patients had severe malnutrition. Except fasting in case of clinical instability in 5.3% (19/360), nutrition was provided in the form of oral feeding in 26.6% (96/360), enteral nutrition (EN) in 56.1% (202/360), parenteral nutrition (PN) in 6.4% (23/360) and mixed support (EN + PN) in 5.6% (20/360). Totally 384 times interruption of feeding happened in the process of EN, and 1.9 times feeding interruption happened to each patient. Twenty-seven point two percent of these patients had more than three times feeding interruption. The severe malnutrition group had significantly greater length of ICU stay and higher mechanical ventilation support rate (P=0.007, P=0.029). Total 44 (44/360, 12.22%) patients died in the study, and the malnutrition was not statistically different between survivor group and death group (P=0.379). More than 85% of the patients had lower daily nutritional intake compared with prescribed goals. Sixty-eight point three percent of the patients received the required calories during EN with median time of 2 [2–4] days. Only 32.7% of patients underwent EN received estimated protein requirements.\n\nConclusions\nThese results showed that malnutrition was common among children admitted to PICU. Furthermore, nutrition delivery was generally inadequate in critically ill children, and nutritional status was getting worsening during PICU.","container-title":"Translational Pediatrics","DOI":"10.21037/tp-19-173","ISSN":"2224-4336","issue":"3","journalAbbreviation":"Transl Pediatr","note":"PMID: 32775240\nPMCID: PMC7347761","page":"221-230","source":"PubMed Central","title":"Nutritional survey in critically ill children: a single center study in China","title-short":"Nutritional survey in critically ill children","volume":"9","author":[{"family":"Li","given":"Jingjing"},{"family":"Li","given":"Biru"},{"family":"Qian","given":"Juan"},{"family":"Zhang","given":"Jian"},{"family":"Ren","given":"Hong"},{"family":"Ning","given":"Botao"},{"family":"Wang","given":"Ying"}],"issued":{"date-parts":[["2020",6]]}}}],"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8096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Trung tâm Y tế Nhi Thượng Hải</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1CA12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Trung Quốc</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064D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Quan sát tiến cứu</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93AC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360</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1111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900D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2D48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Tại PICU, 51,67% trẻ bị SDD khi nhập viện. Trong đó, 56,45% bị SDD nặng.</w:t>
            </w:r>
          </w:p>
        </w:tc>
      </w:tr>
      <w:tr w:rsidR="00293C5C" w:rsidRPr="00FF7955" w14:paraId="7E1AB12D" w14:textId="77777777" w:rsidTr="00A1467B">
        <w:trPr>
          <w:jc w:val="center"/>
        </w:trPr>
        <w:tc>
          <w:tcPr>
            <w:tcW w:w="456" w:type="dxa"/>
            <w:tcBorders>
              <w:top w:val="single" w:sz="8" w:space="0" w:color="000000"/>
              <w:left w:val="single" w:sz="8" w:space="0" w:color="000000"/>
              <w:bottom w:val="single" w:sz="8" w:space="0" w:color="000000"/>
              <w:right w:val="single" w:sz="8" w:space="0" w:color="000000"/>
            </w:tcBorders>
          </w:tcPr>
          <w:p w14:paraId="655283E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20</w:t>
            </w:r>
          </w:p>
        </w:tc>
        <w:tc>
          <w:tcPr>
            <w:tcW w:w="13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C43E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Merve Misirlioglu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{"citationID":"aEeEsFwz","properties":{"formattedCitation":"\\super 31\\nosupersub{}","plainCitation":"31","noteIndex":0},"citationItems":[{"id":1467,"uris":["http://zotero.org/users/14905191/items/4HH86IF5"],"itemData":{"id":1467,"type":"webpage","title":"Evaluation of nutritional status in pediatric intensive care unit patients: the results of a multicenter, prospective study in Turkey - PubMed","URL":"https://pubmed.ncbi.nlm.nih.gov/37601138/","accessed":{"date-parts":[["2024",9,20]]}}}],"schema":"https://github.com/citation-style-language/schema/raw/master/csl-citation.json"}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31</w:t>
            </w:r>
            <w:r w:rsidRPr="00FF7955">
              <w:rPr>
                <w:b w:val="0"/>
                <w:noProof/>
                <w:sz w:val="24"/>
                <w:szCs w:val="24"/>
                <w:vertAlign w:val="superscript"/>
              </w:rPr>
              <w:fldChar w:fldCharType="end"/>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6248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33 đơn vị PICU tại 18 tỉnh</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5061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Thổ Nhĩ Kỳ</w:t>
            </w:r>
          </w:p>
        </w:tc>
        <w:tc>
          <w:tcPr>
            <w:tcW w:w="12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96BA1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Tiến cứu đa trung tâm</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D6D6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614</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BD87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7C66A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Gomez</w:t>
            </w:r>
          </w:p>
        </w:tc>
        <w:tc>
          <w:tcPr>
            <w:tcW w:w="43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C216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Tại PICU, tỷ lệ trẻ SDD chiếm 45,4%. Trong đó, SDD mãn tính chiếm 23%.</w:t>
            </w:r>
          </w:p>
        </w:tc>
      </w:tr>
    </w:tbl>
    <w:p w14:paraId="610C0B19" w14:textId="77777777" w:rsidR="00FF7955" w:rsidRPr="00FF7955" w:rsidRDefault="00FF7955" w:rsidP="00FF7955">
      <w:pPr>
        <w:pStyle w:val="Tiu"/>
        <w:spacing w:after="0"/>
        <w:ind w:right="-1" w:firstLine="0"/>
        <w:jc w:val="left"/>
        <w:rPr>
          <w:b w:val="0"/>
          <w:noProof/>
          <w:sz w:val="24"/>
          <w:szCs w:val="24"/>
        </w:rPr>
      </w:pPr>
    </w:p>
    <w:tbl>
      <w:tblPr>
        <w:tblW w:w="13892" w:type="dxa"/>
        <w:jc w:val="center"/>
        <w:tblCellMar>
          <w:top w:w="15" w:type="dxa"/>
          <w:left w:w="15" w:type="dxa"/>
          <w:bottom w:w="15" w:type="dxa"/>
          <w:right w:w="15" w:type="dxa"/>
        </w:tblCellMar>
        <w:tblLook w:val="04A0" w:firstRow="1" w:lastRow="0" w:firstColumn="1" w:lastColumn="0" w:noHBand="0" w:noVBand="1"/>
      </w:tblPr>
      <w:tblGrid>
        <w:gridCol w:w="458"/>
        <w:gridCol w:w="2218"/>
        <w:gridCol w:w="1538"/>
        <w:gridCol w:w="1020"/>
        <w:gridCol w:w="1107"/>
        <w:gridCol w:w="843"/>
        <w:gridCol w:w="848"/>
        <w:gridCol w:w="1127"/>
        <w:gridCol w:w="4733"/>
      </w:tblGrid>
      <w:tr w:rsidR="001707B5" w:rsidRPr="00FF7955" w14:paraId="787B92DD" w14:textId="77777777" w:rsidTr="00A1467B">
        <w:trPr>
          <w:tblHeader/>
          <w:jc w:val="center"/>
        </w:trPr>
        <w:tc>
          <w:tcPr>
            <w:tcW w:w="13892" w:type="dxa"/>
            <w:gridSpan w:val="9"/>
            <w:tcBorders>
              <w:bottom w:val="single" w:sz="4" w:space="0" w:color="auto"/>
            </w:tcBorders>
          </w:tcPr>
          <w:p w14:paraId="1B1FD069" w14:textId="77777777" w:rsidR="001707B5" w:rsidRDefault="001707B5" w:rsidP="00FF7955">
            <w:pPr>
              <w:pStyle w:val="Tiu"/>
              <w:spacing w:after="0"/>
              <w:ind w:right="-1" w:firstLine="0"/>
              <w:jc w:val="left"/>
              <w:rPr>
                <w:b w:val="0"/>
                <w:i/>
                <w:sz w:val="24"/>
                <w:szCs w:val="24"/>
                <w:lang w:val="vi-VN"/>
              </w:rPr>
            </w:pPr>
            <w:r>
              <w:rPr>
                <w:sz w:val="24"/>
                <w:szCs w:val="24"/>
              </w:rPr>
              <w:lastRenderedPageBreak/>
              <w:t>Phụ lục 2</w:t>
            </w:r>
            <w:r w:rsidRPr="00FF7955">
              <w:rPr>
                <w:sz w:val="24"/>
                <w:szCs w:val="24"/>
                <w:lang w:val="vi-VN"/>
              </w:rPr>
              <w:t xml:space="preserve">. </w:t>
            </w:r>
            <w:r w:rsidRPr="00FF7955">
              <w:rPr>
                <w:b w:val="0"/>
                <w:i/>
                <w:sz w:val="24"/>
                <w:szCs w:val="24"/>
                <w:lang w:val="vi-VN"/>
              </w:rPr>
              <w:t>Tình trạng dinh dưỡng của trẻ em điều trị nội trú tại Việt Nam</w:t>
            </w:r>
          </w:p>
          <w:p w14:paraId="4CE496D7" w14:textId="16A38B33" w:rsidR="001707B5" w:rsidRPr="00FF7955" w:rsidRDefault="001707B5" w:rsidP="00FF7955">
            <w:pPr>
              <w:pStyle w:val="Tiu"/>
              <w:spacing w:after="0"/>
              <w:ind w:right="-1" w:firstLine="0"/>
              <w:jc w:val="left"/>
              <w:rPr>
                <w:b w:val="0"/>
                <w:noProof/>
                <w:sz w:val="24"/>
                <w:szCs w:val="24"/>
              </w:rPr>
            </w:pPr>
          </w:p>
        </w:tc>
      </w:tr>
      <w:tr w:rsidR="00293C5C" w:rsidRPr="00FF7955" w14:paraId="5C13B94E" w14:textId="77777777" w:rsidTr="00A1467B">
        <w:trPr>
          <w:tblHeader/>
          <w:jc w:val="center"/>
        </w:trPr>
        <w:tc>
          <w:tcPr>
            <w:tcW w:w="458" w:type="dxa"/>
            <w:tcBorders>
              <w:top w:val="single" w:sz="4" w:space="0" w:color="auto"/>
              <w:left w:val="single" w:sz="8" w:space="0" w:color="000000"/>
              <w:bottom w:val="single" w:sz="8" w:space="0" w:color="000000"/>
              <w:right w:val="single" w:sz="8" w:space="0" w:color="000000"/>
            </w:tcBorders>
          </w:tcPr>
          <w:p w14:paraId="4E3A63A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STT</w:t>
            </w:r>
          </w:p>
        </w:tc>
        <w:tc>
          <w:tcPr>
            <w:tcW w:w="221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10E260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Tác giả (năm xuất bản)</w:t>
            </w:r>
          </w:p>
        </w:tc>
        <w:tc>
          <w:tcPr>
            <w:tcW w:w="153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6D5E05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viện</w:t>
            </w:r>
          </w:p>
        </w:tc>
        <w:tc>
          <w:tcPr>
            <w:tcW w:w="102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60D395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Tỉnh/ thành phố</w:t>
            </w:r>
          </w:p>
        </w:tc>
        <w:tc>
          <w:tcPr>
            <w:tcW w:w="110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45E55A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Thiết kế NC</w:t>
            </w:r>
          </w:p>
        </w:tc>
        <w:tc>
          <w:tcPr>
            <w:tcW w:w="843"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4208388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Cỡ mẫu</w:t>
            </w:r>
          </w:p>
        </w:tc>
        <w:tc>
          <w:tcPr>
            <w:tcW w:w="84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06DD64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Tuổi</w:t>
            </w:r>
          </w:p>
        </w:tc>
        <w:tc>
          <w:tcPr>
            <w:tcW w:w="1127"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0C355D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Công cụ đánh giá TTDD</w:t>
            </w:r>
          </w:p>
        </w:tc>
        <w:tc>
          <w:tcPr>
            <w:tcW w:w="4733"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3FCB9477" w14:textId="77777777" w:rsidR="00FF7955" w:rsidRDefault="00FF7955" w:rsidP="00FF7955">
            <w:pPr>
              <w:pStyle w:val="Tiu"/>
              <w:spacing w:after="0"/>
              <w:ind w:right="-1" w:firstLine="0"/>
              <w:jc w:val="left"/>
              <w:rPr>
                <w:b w:val="0"/>
                <w:noProof/>
                <w:sz w:val="24"/>
                <w:szCs w:val="24"/>
              </w:rPr>
            </w:pPr>
            <w:r w:rsidRPr="00FF7955">
              <w:rPr>
                <w:b w:val="0"/>
                <w:noProof/>
                <w:sz w:val="24"/>
                <w:szCs w:val="24"/>
              </w:rPr>
              <w:t>Kết quả</w:t>
            </w:r>
          </w:p>
          <w:p w14:paraId="00BFE07D" w14:textId="055F9B0A" w:rsidR="00293C5C" w:rsidRPr="00FF7955" w:rsidRDefault="00293C5C" w:rsidP="00FF7955">
            <w:pPr>
              <w:pStyle w:val="Tiu"/>
              <w:spacing w:after="0"/>
              <w:ind w:right="-1" w:firstLine="0"/>
              <w:jc w:val="left"/>
              <w:rPr>
                <w:b w:val="0"/>
                <w:noProof/>
                <w:sz w:val="24"/>
                <w:szCs w:val="24"/>
              </w:rPr>
            </w:pPr>
          </w:p>
        </w:tc>
      </w:tr>
      <w:tr w:rsidR="00293C5C" w:rsidRPr="00FF7955" w14:paraId="467D950B"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7BB8D16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57F0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Vũ Thị Thanh và cs (2024)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{"citationID":"90kYt1Ml","properties":{"formattedCitation":"\\super 32\\nosupersub{}","plainCitation":"32","noteIndex":0},"citationItems":[{"id":1469,"uris":["http://zotero.org/users/14905191/items/5U953ZPB"],"itemData":{"id":1469,"type":"webpage","title":"ĐÁNH GIÁ TÌNH TRẠNG DINH DƯỠNG Ở TRẺ EM DƯỚI 5 TUỔI ĐANG ĐIỀU TRỊ TẠI BỆNH VIỆN ĐA KHOA TÂM ANH HÀ NỘI","URL":"https://tapchidinhduongthucpham.org.vn/index.php/jfns/article/view/681/897","accessed":{"date-parts":[["2024",9,20]]}}}],"schema":"https://github.com/citation-style-language/schema/raw/master/csl-citation.json"}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32</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8300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Đa khoa Tâm Anh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649D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0B8EC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7141A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759</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F1A4C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4C183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 </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A350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SDD thể nhẹ cân 3,8%, thể thấp còi 7,1%, thể gầy còm 3,3%.</w:t>
            </w:r>
          </w:p>
          <w:p w14:paraId="10E1EE3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béo phì 2,1%</w:t>
            </w:r>
          </w:p>
        </w:tc>
      </w:tr>
      <w:tr w:rsidR="00293C5C" w:rsidRPr="00FF7955" w14:paraId="42A8328C"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5ACB9CA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50AA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Nguyễn Thị Ngọc Ánh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{"citationID":"4yKUFcnD","properties":{"formattedCitation":"\\super 33\\nosupersub{}","plainCitation":"33","noteIndex":0},"citationItems":[{"id":1471,"uris":["http://zotero.org/users/14905191/items/S8RMF7HQ"],"itemData":{"id":1471,"type":"webpage","title":"TÌNH TRẠNG DINH DƯỠNG VÀ MỘT SỐ YẾU TỐ LIÊN QUAN CỦA TRẺ DƯỚI 24 THÁNG TUỔI ĐIỀU TRỊ TẠI KHOA NHI BỆNH VIỆN E","URL":"https://tapchiyhocvietnam.vn/index.php/vmj/article/view/1516/1340","accessed":{"date-parts":[["2024",9,20]]}}}],"schema":"https://github.com/citation-style-language/schema/raw/master/csl-citation.json"}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33</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6A90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Khoa Nhi Bệnh viện E</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7F046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99AB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2605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121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7947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0-24 tháng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8954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3365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có tỷ lệ SDD thể nhẹ cân là 7,4%; SDD thể thấp còi là 9,1% và thể gầy còm là 9,9%.</w:t>
            </w:r>
          </w:p>
        </w:tc>
      </w:tr>
      <w:tr w:rsidR="00293C5C" w:rsidRPr="00FF7955" w14:paraId="108B73F3"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49A7EC4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1FCA8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Ngô Anh Vinh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{"citationID":"DtG5wU75","properties":{"formattedCitation":"\\super 34\\nosupersub{}","plainCitation":"34","noteIndex":0},"citationItems":[{"id":1473,"uris":["http://zotero.org/users/14905191/items/IWGGSS7K"],"itemData":{"id":1473,"type":"webpage","title":"MỘT SỐ YẾU TỐ LIÊN QUAN ĐẾN TÌNH TRẠNG DINH DƯỠNG Ở TRẺ DƯỚI 5 TUỔI TẠI BỆNH VIỆN ĐA KHOA THÀNH PHỐ HÀ TĨNH","URL":"https://tapchiyhocvietnam.vn/index.php/vmj/article/view/7757/6847","accessed":{"date-parts":[["2024",9,20]]}}}],"schema":"https://github.com/citation-style-language/schema/raw/master/csl-citation.json"}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34</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8ED5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Đa Khoa thành phố Hà Tĩnh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4FB3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Tĩnh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64F0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3E9B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420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AB1B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1241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2089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em có tỷ lệ SDD chiếm 5%,</w:t>
            </w:r>
          </w:p>
          <w:p w14:paraId="3060E70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thừa cân béo phì là 2,8%</w:t>
            </w:r>
          </w:p>
        </w:tc>
      </w:tr>
      <w:tr w:rsidR="00293C5C" w:rsidRPr="00FF7955" w14:paraId="4E016208"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50EBEF8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4</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17F2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Nguyễn Thị Lê Thủy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{"citationID":"nMAhE3GN","properties":{"formattedCitation":"\\super 35\\nosupersub{}","plainCitation":"35","noteIndex":0},"citationItems":[{"id":1475,"uris":["http://zotero.org/users/14905191/items/73UTCG8H"],"itemData":{"id":1475,"type":"article-journal","abstract":"Objectives: Evaluation of nutritional status of children under 5 years old with congenital heart disease inpatient treatment at Hanoi Heart Hospital. \nMethods: Crosssectional descriptive study on 105 children under 5 years old with congenital heart disease inpatient treatment at the study site from December 2020 to December 2021. \nResults: The most common age in the study was &amp;lt; 6 months old (42.9%), the rate of male patients was 48.6% and female patients were 51.4%. The rate of children with congenital heart disease: Atrial septal defect 5.7%, ventricular septal defect 45.7%, aortic duct 12.4%, Pulmonary stenosis 7.6%, tetralogy of Fallot 17.1 %, combination of many malformations 11.4%. 57/105 pediatric patients showed signs of underweight malnutrition (accounting for 54.3%), 48/105 children with stunting malnutrition (accounting for 45.7%) and 44 percent emaciated malnutrition. 105 pediatric patients (accounting for 41.9%). \nConclusion: Nutritional status of pediatric patients: Acute malnutrition accounted for 15.2%, chronicmalnutrition 22.9% and progressive chronic malnutrition 16.2%.","container-title":"Tạp chí Khoa học Điều dưỡng","DOI":"10.54436/jns.2022.03.503","ISSN":"2734-9632","issue":"03","language":"vi","license":"Bản quyền (c) 2022 Tạp chí Khoa học Điều dưỡng","note":"number: 03","page":"90-98","source":"jns.vn","title":"Tình trạng dinh dưỡng của trẻ dưới 5 tuổi mắc tim bẩm sinh điều trị nội trú tại Bệnh viện Tim Hà Nội","volume":"5","author":[{"family":"Nguyễn","given":"Thị Lê Thủy"},{"family":"Nguyễn","given":"Minh An"},{"family":"Vũ","given":"Văn Đẩu"}],"issued":{"date-parts":[["2022",8,18]]}}}],"schema":"https://github.com/citation-style-language/schema/raw/master/csl-citation.json"}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35</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835A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tim Hà Nội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F989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CDC6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701A3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105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A455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32C52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2BCB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mắc tim bẩm sinh có tỷ lệ SDD thể nhẹ cân 54,3%, thể thấp còi 45,7%, thể gầy còm 41,9%</w:t>
            </w:r>
          </w:p>
          <w:p w14:paraId="4ACDA35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thừa cân 2,9%</w:t>
            </w:r>
          </w:p>
        </w:tc>
      </w:tr>
      <w:tr w:rsidR="00293C5C" w:rsidRPr="00FF7955" w14:paraId="1E646873"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261AA3A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5</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5E45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Đỗ Mỹ Linh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{"citationID":"CM5wHS0f","properties":{"formattedCitation":"\\super 4\\nosupersub{}","plainCitation":"4","noteIndex":0},"citationItems":[{"id":1398,"uris":["http://zotero.org/users/14905191/items/R7Q8SZEN"],"itemData":{"id":1398,"type":"webpage","title":"28. Tình trạng dinh dưỡng và một số yếu tố liên quan của bệnh nhi ung thư dưới 5 tuổi tại Bệnh viện Nhi Trung ương","URL":"https://tapchinghiencuuyhoc.vn/index.php/tcncyh/article/view/1967/1283","accessed":{"date-parts":[["2024",9,20]]}}}],"schema":"https://github.com/citation-style-language/schema/raw/master/csl-citation.json"}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4</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6865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BDD0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ACB8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tiến cứu</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EDE0A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150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0BA9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21A3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4FCD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Bệnh nhân nhi ung thư có tình trạng SDD nhẹ cân chiếm 28%, trẻ SDD thấp còi 17,3% và 24% trẻ bị SDD thể gầy còm</w:t>
            </w:r>
          </w:p>
        </w:tc>
      </w:tr>
      <w:tr w:rsidR="00293C5C" w:rsidRPr="00FF7955" w14:paraId="3C780B05"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0D07BAE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6</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AE3F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Trần Đăng Thông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{"citationID":"yjD7ACet","properties":{"formattedCitation":"\\super 36\\nosupersub{}","plainCitation":"36","noteIndex":0},"citationItems":[{"id":1477,"uris":["http://zotero.org/users/14905191/items/7C2D7SF5"],"itemData":{"id":1477,"type":"webpage","title":"12. Thực trạng thiếu dinh dưỡng ở trẻ có dẫn lưu hai đầu ruột qua da sau phẫu thuật ruột non tại Bệnh viện Nhi Trung ương","URL":"https://tapchinghiencuuyhoc.vn/index.php/tcncyh/article/view/1818/1225","accessed":{"date-parts":[["2024",9,20]]}}}],"schema":"https://github.com/citation-style-language/schema/raw/master/csl-citation.json"}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36</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7B08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CF1F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B0A9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1FA6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33 </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F259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6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10CB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15E3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có dẫn lưu hai đầu ruột qua da sau phẫu thuật ruột non có tỷ lệ SDD thể nhẹ cân (66,7-79,2%), thể thấp còi (50-66,7%), thể gầy còm (50-66,7%).</w:t>
            </w:r>
          </w:p>
        </w:tc>
      </w:tr>
      <w:tr w:rsidR="00293C5C" w:rsidRPr="00FF7955" w14:paraId="01FDAB1A"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644B8AB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7</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58EC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Lê Xuân Hưng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{"citationID":"SpAcIHtP","properties":{"formattedCitation":"\\super 37\\nosupersub{}","plainCitation":"37","noteIndex":0},"citationItems":[{"id":1479,"uris":["http://zotero.org/users/14905191/items/PIWFJ287"],"itemData":{"id":1479,"type":"webpage","title":"15. Tình trạng dinh dưỡng của trẻ mắc hội chứng ruột ngắn sau đóng dẫn lưu hai đầu ruột tại Bệnh viện Nhi Trung ương","URL":"https://tapchinghiencuuyhoc.vn/index.php/tcncyh/article/view/1910/1270","accessed":{"date-parts":[["2024",9,20]]}}}],"schema":"https://github.com/citation-style-language/schema/raw/master/csl-citation.json"}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37</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2811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0312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B0D5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loạt ca bệnh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5CCBA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31 </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EA7B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6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487E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8E3E6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mắc hội chứng ruột ngắn sau đóng dẫn lưu hai đầu ruột có tỷ lệ SDD thể nhẹ cân 87,1%, thể thấp còi 80,7% và thể gầy còm 80,6%</w:t>
            </w:r>
          </w:p>
        </w:tc>
      </w:tr>
      <w:tr w:rsidR="00293C5C" w:rsidRPr="00FF7955" w14:paraId="3428CA78"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7B99AD3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8</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69CE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Trịnh Thị Thủy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{"citationID":"7MTcl1JQ","properties":{"formattedCitation":"\\super 38\\nosupersub{}","plainCitation":"38","noteIndex":0},"citationItems":[{"id":1481,"uris":["http://zotero.org/users/14905191/items/5VGIT2YL"],"itemData":{"id":1481,"type":"webpage","title":"16. Tình trạng dinh dưỡng và thiếu vi chất dinh dưỡng ở trẻ mắc hội chứng ruột ngắn","URL":"https://tapchinghiencuuyhoc.vn/index.php/tcncyh/article/view/1152/793","accessed":{"date-parts":[["2024",9,20]]}}}],"schema":"https://github.com/citation-style-language/schema/raw/master/csl-citation.json"}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38</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0E21D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33DE8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EC190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loạt ca bệnh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89591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50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CAEA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10 ngày - 64 tháng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47BC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 </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D761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mắc hội chứng ruột ngắn có tỷ lệ SDD thể nhẹ cân (80,0 - 88,9%), SDD thể gầy còm (60,0 - 80,6%), SDD thể thấp còi (40,0 - 66,7%).</w:t>
            </w:r>
          </w:p>
        </w:tc>
      </w:tr>
      <w:tr w:rsidR="00293C5C" w:rsidRPr="00FF7955" w14:paraId="33D8B437"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1BEC1D3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9</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295C4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Bế Hà Thành và cs (2022)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{"citationID":"iJNdrhci","properties":{"formattedCitation":"\\super 39\\nosupersub{}","plainCitation":"39","noteIndex":0},"citationItems":[{"id":1483,"uris":["http://zotero.org/users/14905191/items/8I5PY35H"],"itemData":{"id":1483,"type":"webpage","title":"TÌNH TRẠNG DINH DƯỠNG CỦA TRẺ DƯỚI 5 TUỔI BỊ TIÊU CHẢY CẤP TẠI TRUNG TÂM NHI KHOA, BỆNH VIỆN TRUNG ƯƠNG THÁI NGUYÊN","URL":"https://tapchiyhocvietnam.vn/index.php/vmj/article/view/2169/1960","accessed":{"date-parts":[["2024",9,20]]}}}],"schema":"https://github.com/citation-style-language/schema/raw/master/csl-citation.json"}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39</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5404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Trung Ương Thái Nguyên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061C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Thái Nguyên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4C62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63518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118 </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AEC0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D8F6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 </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41BF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bị tiêu chảy cấp có tỷ lệ SDD thể nhẹ cân là 11,9%, thể thấp còi 5,9%</w:t>
            </w:r>
          </w:p>
          <w:p w14:paraId="36E2BF7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Tỉ lệ thừa cân là 4,2%</w:t>
            </w:r>
          </w:p>
        </w:tc>
      </w:tr>
      <w:tr w:rsidR="00293C5C" w:rsidRPr="00FF7955" w14:paraId="30262B83"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1B86765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10</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77226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Phan Thị Hồng Hải và cs (2021)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{"citationID":"qTI5W8re","properties":{"formattedCitation":"\\super 40\\nosupersub{}","plainCitation":"40","noteIndex":0},"citationItems":[{"id":1485,"uris":["http://zotero.org/users/14905191/items/LYCZEE4E"],"itemData":{"id":1485,"type":"webpage","title":"TÌNH TRẠNG DINH DƯỠNG CỦA TRẺ EM MẮC BỆNH RUỘT VIÊM TẠI BỆNH VIỆN NHI TRUNG ƯƠNG","URL":"https://tapchiyhocvietnam.vn/index.php/vmj/article/view/1029/892","accessed":{"date-parts":[["2024",9,20]]}}}],"schema":"https://github.com/citation-style-language/schema/raw/master/csl-citation.json"}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40</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F9CB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CD7E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3793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Cắt ngang mô tả loạt ca bệnh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5DBA3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BEF47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 tháng - 18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5D43F" w14:textId="77777777" w:rsidR="00FF7955" w:rsidRPr="00FF7955" w:rsidRDefault="00FF7955" w:rsidP="00FF7955">
            <w:pPr>
              <w:pStyle w:val="Tiu"/>
              <w:spacing w:after="0"/>
              <w:ind w:right="-1" w:firstLine="0"/>
              <w:jc w:val="left"/>
              <w:rPr>
                <w:b w:val="0"/>
                <w:noProof/>
                <w:sz w:val="24"/>
                <w:szCs w:val="24"/>
              </w:rPr>
            </w:pP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C4C4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mắc bệnh ruột viêm có tình trạng SDD thể thấp còi chiếm 42%, thể nhẹ cân 33,5%, thể gầy còm 29%</w:t>
            </w:r>
          </w:p>
        </w:tc>
      </w:tr>
      <w:tr w:rsidR="00293C5C" w:rsidRPr="00FF7955" w14:paraId="79254ADA"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4360088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lastRenderedPageBreak/>
              <w:t>11</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3BE8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Nguyễn Minh Trang và cs (2019)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{"citationID":"Sf6c3m6N","properties":{"formattedCitation":"\\super 41\\nosupersub{}","plainCitation":"41","noteIndex":0},"citationItems":[{"id":1487,"uris":["http://zotero.org/users/14905191/items/6Y76C3KV"],"itemData":{"id":1487,"type":"webpage","title":"TÌNH TRẠNG DINH DƯỠNG VÀ CHẾ ĐỘ NUÔI DƯỠNG CỦA BỆNH NHI DƯỚI 5 TUỔI CÓ PHẪU THUẬT ĐƯỜNG TIÊU HÓA TẠI KHOA NGOẠI TỔNG HỢP, BỆNH VIỆN NHI TRUNG ƯƠNG NĂM 2018","URL":"https://tapchidinhduongthucpham.org.vn/index.php/jfns/article/view/250/298","accessed":{"date-parts":[["2024",9,20]]}}}],"schema":"https://github.com/citation-style-language/schema/raw/master/csl-citation.json"}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41</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1A76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Nhi Trung Ương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ECF4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Hà Nội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03134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8BE3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110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759826"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AB9A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SGNA, 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213D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Phân loại TTDD theo Z-score: Bệnh nhân nhi phẫu thuật đường tiêu hóa có tỷ lệ SDD thấp còi (41,8%); nhẹ cân (17,3%) và gầy còm (13,6%)</w:t>
            </w:r>
          </w:p>
          <w:p w14:paraId="200EF6F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Phân loại TTDD theo SGNA: SDD vừa (50%) và SDD nặng (3,6%)</w:t>
            </w:r>
          </w:p>
        </w:tc>
      </w:tr>
      <w:tr w:rsidR="00293C5C" w:rsidRPr="00FF7955" w14:paraId="0EC90892"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26B5875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12</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57E5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Trần Lê Hồng Giang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{"citationID":"cTALRl6I","properties":{"formattedCitation":"\\super 42\\nosupersub{}","plainCitation":"42","noteIndex":0},"citationItems":[{"id":1489,"uris":["http://zotero.org/users/14905191/items/RVRCD8TJ"],"itemData":{"id":1489,"type":"webpage","title":"THỰC TRẠNG SUY DINH DƯỠNG VÀ MỘT SỐ YẾU TỐ LIÊN QUAN CỦA TRẺ DƯỚI 5 TUỔI TẠI BỆNH VIỆN ĐA KHOA KHU VỰC CAM RANH","URL":"https://tapchiyhocvietnam.vn/index.php/vmj/article/view/6719/6001","accessed":{"date-parts":[["2024",9,20]]}}}],"schema":"https://github.com/citation-style-language/schema/raw/master/csl-citation.json"}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42</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9D1E8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Đa khoa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A21F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Cam Ranh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5447D"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147C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370</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A7082"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B0A4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765C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bị nhiễm khuẩn hô hấp hoặc nhiễm khuẩn tiêu hóa có tỷ lệ SDD nhẹ cân là 14,1%, tỷ lệ SDD thấp còi là 23,8%, gầy còm chiếm 12,4%.</w:t>
            </w:r>
          </w:p>
        </w:tc>
      </w:tr>
      <w:tr w:rsidR="00293C5C" w:rsidRPr="00FF7955" w14:paraId="3DE8300B"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515A8B20"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13</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82C6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Hoàng Thị Thu Hà và cs (2022)</w:t>
            </w:r>
            <w:r w:rsidRPr="00FF7955">
              <w:rPr>
                <w:b w:val="0"/>
                <w:noProof/>
                <w:sz w:val="24"/>
                <w:szCs w:val="24"/>
                <w:vertAlign w:val="superscript"/>
              </w:rPr>
              <w:t xml:space="preserve">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{"citationID":"seKhnjGG","properties":{"formattedCitation":"\\super 1\\nosupersub{}","plainCitation":"1","noteIndex":0},"citationItems":[{"id":1390,"uris":["http://zotero.org/users/14905191/items/2TSU8K2J"],"itemData":{"id":1390,"type":"webpage","title":"MỘT SỐ YẾU TỐ LIÊN QUAN ĐẾN SUY DINH DƯỠNG THẤP CÒI Ở BỆNH NHI VIÊM PHỔI TẠI BỆNH VIỆN TRẺ EM HẢI PHÒNG","URL":"https://tapchiyhocvietnam.vn/index.php/vmj/article/view/2561/2359","accessed":{"date-parts":[["2024",9,20]]}}}],"schema":"https://github.com/citation-style-language/schema/raw/master/csl-citation.json"}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1</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C6D3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trẻ em Hải Phòng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5E1B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Hải Phòng</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11F7E"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201E8"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225</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801905"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5 tuổi</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C927B"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9C655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Trẻ bị viêm phổi có tỷ lệ SDD thể thấp còi (29,8%)</w:t>
            </w:r>
          </w:p>
        </w:tc>
      </w:tr>
      <w:tr w:rsidR="00293C5C" w:rsidRPr="00FF7955" w14:paraId="375AB86E" w14:textId="77777777" w:rsidTr="00A1467B">
        <w:trPr>
          <w:jc w:val="center"/>
        </w:trPr>
        <w:tc>
          <w:tcPr>
            <w:tcW w:w="458" w:type="dxa"/>
            <w:tcBorders>
              <w:top w:val="single" w:sz="8" w:space="0" w:color="000000"/>
              <w:left w:val="single" w:sz="8" w:space="0" w:color="000000"/>
              <w:bottom w:val="single" w:sz="8" w:space="0" w:color="000000"/>
              <w:right w:val="single" w:sz="8" w:space="0" w:color="000000"/>
            </w:tcBorders>
          </w:tcPr>
          <w:p w14:paraId="0F87D86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14</w:t>
            </w:r>
          </w:p>
        </w:tc>
        <w:tc>
          <w:tcPr>
            <w:tcW w:w="2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84FEE4"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xml:space="preserve">Bế Hà Thành và cs (2023) </w:t>
            </w:r>
            <w:r w:rsidRPr="00FF7955">
              <w:rPr>
                <w:b w:val="0"/>
                <w:noProof/>
                <w:sz w:val="24"/>
                <w:szCs w:val="24"/>
                <w:vertAlign w:val="superscript"/>
              </w:rPr>
              <w:fldChar w:fldCharType="begin"/>
            </w:r>
            <w:r w:rsidRPr="00FF7955">
              <w:rPr>
                <w:b w:val="0"/>
                <w:noProof/>
                <w:sz w:val="24"/>
                <w:szCs w:val="24"/>
                <w:vertAlign w:val="superscript"/>
              </w:rPr>
              <w:instrText xml:space="preserve"> ADDIN ZOTERO_ITEM CSL_CITATION {"citationID":"rp5W5oBB","properties":{"formattedCitation":"\\super 43\\nosupersub{}","plainCitation":"43","noteIndex":0},"citationItems":[{"id":1493,"uris":["http://zotero.org/users/14905191/items/HBSHKHCD"],"itemData":{"id":1493,"type":"article-journal","abstract":"Nghiên cứu nhằm mục tiêu đánh giá tình trạng dinh dưỡng của trẻ mắc COVID-19 tại Trung tâm Hồi sức và điều trị người bệnh COVID-19, Bệnh viện Trung ương Thái Nguyên. Nghiên cứu mô tả cắt ngang 201 trẻ từ 0 đến 10 tuổi được chẩn đoán mắc COVID-19 trong thời gian từ tháng 01 đến tháng 12/2022. Kết quả nghiên cứu cho thấy độ tuổi trung bình của trẻ là 38 tháng. Lứa tuổi từ 0-2 tuổi chiếm tỷ lệ cao nhất là 48,8%, có mối tương quan nghịch giữa phân loại mức độ bệnh và lứa tuổi của trẻ với p&lt;0,05, r = - 0,156. Tỷ lệ suy dinh dưỡng thể nhẹ cân là 5%, tỷ lệ thừa cân/béo phì là 13,4%. Như vậy, mức độ bệnh nặng ở trẻ em có mối tương quan nghịch với lứa tuổi của trẻ. Chúng ta cần có sự quan tâm của chính quyền, ban ngành và phối hợp chặt chẽ với truyền thông để giảm thiểu tỷ lệ suy dinh dưỡng cũng như giảm thiểu tỷ lệ thừa cân/béo phì ở mức thấp hơn.","container-title":"TNU Journal of Science and Technology","DOI":"10.34238/tnu-jst.7899","ISSN":"2615-9562","issue":"09","language":"vi","license":"##submission.copyrightStatement##","note":"number: 09","page":"276-282","source":"jst.tnu.edu.vn","title":"TÌNH TRẠNG DINH DƯỠNG CỦA TRẺ MẮC COVID – 19 TẠI TRUNG TÂM HỒI SỨC VÀ ĐIỀU TRỊ NGƯỜI BỆNH COVID – 19, BỆNH VIỆN TRUNG ƯƠNG THÁI NGUYÊN","volume":"228","author":[{"family":"Thành","given":"Bế Hà"},{"family":"Hương","given":"Nguyễn Thị Xuân"},{"family":"Dung","given":"Lê Thị Kim"},{"family":"Mai","given":"Dương Thúy"},{"family":"Bắc","given":"Nguyễn Văn"},{"family":"Trưởng","given":"Dương Quốc"},{"family":"Thành","given":"Nguyễn Công"}],"issued":{"date-parts":[["2023",7,28]]}}}],"schema":"https://github.com/citation-style-language/schema/raw/master/csl-citation.json"} </w:instrText>
            </w:r>
            <w:r w:rsidRPr="00FF7955">
              <w:rPr>
                <w:b w:val="0"/>
                <w:noProof/>
                <w:sz w:val="24"/>
                <w:szCs w:val="24"/>
                <w:vertAlign w:val="superscript"/>
              </w:rPr>
              <w:fldChar w:fldCharType="separate"/>
            </w:r>
            <w:r w:rsidRPr="00FF7955">
              <w:rPr>
                <w:b w:val="0"/>
                <w:noProof/>
                <w:sz w:val="24"/>
                <w:szCs w:val="24"/>
                <w:vertAlign w:val="superscript"/>
              </w:rPr>
              <w:t>43</w:t>
            </w:r>
            <w:r w:rsidRPr="00FF7955">
              <w:rPr>
                <w:b w:val="0"/>
                <w:noProof/>
                <w:sz w:val="24"/>
                <w:szCs w:val="24"/>
                <w:vertAlign w:val="superscript"/>
              </w:rPr>
              <w:fldChar w:fldCharType="end"/>
            </w:r>
          </w:p>
        </w:tc>
        <w:tc>
          <w:tcPr>
            <w:tcW w:w="15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33621F"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BV Trung Ương Thái Nguyên </w:t>
            </w:r>
          </w:p>
        </w:tc>
        <w:tc>
          <w:tcPr>
            <w:tcW w:w="1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480B51"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Thái Nguyên </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E6E3E9"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Mô tả cắt ngang </w:t>
            </w:r>
          </w:p>
        </w:tc>
        <w:tc>
          <w:tcPr>
            <w:tcW w:w="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2586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201</w:t>
            </w:r>
          </w:p>
        </w:tc>
        <w:tc>
          <w:tcPr>
            <w:tcW w:w="8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663CC"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0-10 tuổi </w:t>
            </w:r>
          </w:p>
        </w:tc>
        <w:tc>
          <w:tcPr>
            <w:tcW w:w="1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EF7707"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Z-score WHO</w:t>
            </w:r>
          </w:p>
        </w:tc>
        <w:tc>
          <w:tcPr>
            <w:tcW w:w="47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6334A"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Trẻ được chẩn đoán mắc COVID-19 có tỷ lệ SDD thể nhẹ cân chiếm 5%</w:t>
            </w:r>
          </w:p>
          <w:p w14:paraId="76DA7F83" w14:textId="77777777" w:rsidR="00FF7955" w:rsidRPr="00FF7955" w:rsidRDefault="00FF7955" w:rsidP="00FF7955">
            <w:pPr>
              <w:pStyle w:val="Tiu"/>
              <w:spacing w:after="0"/>
              <w:ind w:right="-1" w:firstLine="0"/>
              <w:jc w:val="left"/>
              <w:rPr>
                <w:b w:val="0"/>
                <w:noProof/>
                <w:sz w:val="24"/>
                <w:szCs w:val="24"/>
              </w:rPr>
            </w:pPr>
            <w:r w:rsidRPr="00FF7955">
              <w:rPr>
                <w:b w:val="0"/>
                <w:noProof/>
                <w:sz w:val="24"/>
                <w:szCs w:val="24"/>
              </w:rPr>
              <w:t>- Tỷ lệ trẻ thừa cân béo phì chiếm 13,4%. </w:t>
            </w:r>
          </w:p>
        </w:tc>
      </w:tr>
    </w:tbl>
    <w:p w14:paraId="2E6226E8" w14:textId="77777777" w:rsidR="00FF7955" w:rsidRPr="00FF7955" w:rsidRDefault="00FF7955" w:rsidP="00FF7955">
      <w:pPr>
        <w:pStyle w:val="Tiu"/>
        <w:spacing w:after="0"/>
        <w:ind w:right="-1" w:firstLine="0"/>
        <w:jc w:val="left"/>
        <w:rPr>
          <w:b w:val="0"/>
          <w:noProof/>
          <w:sz w:val="24"/>
          <w:szCs w:val="24"/>
        </w:rPr>
      </w:pPr>
    </w:p>
    <w:p w14:paraId="456A8B6F" w14:textId="77777777" w:rsidR="00F675C4" w:rsidRPr="00791E48" w:rsidRDefault="00F675C4" w:rsidP="00F675C4">
      <w:pPr>
        <w:rPr>
          <w:sz w:val="20"/>
          <w:szCs w:val="20"/>
          <w:lang w:val="vi-VN" w:eastAsia="en-US"/>
        </w:rPr>
      </w:pPr>
    </w:p>
    <w:p w14:paraId="23740235" w14:textId="77777777" w:rsidR="00AE0FEE" w:rsidRPr="00791E48" w:rsidRDefault="00AE0FEE" w:rsidP="00F675C4">
      <w:pPr>
        <w:rPr>
          <w:sz w:val="20"/>
          <w:szCs w:val="20"/>
          <w:lang w:val="vi-VN" w:eastAsia="en-US"/>
        </w:rPr>
      </w:pPr>
    </w:p>
    <w:p w14:paraId="34857FC6" w14:textId="77777777" w:rsidR="00AE0FEE" w:rsidRPr="00791E48" w:rsidRDefault="00AE0FEE" w:rsidP="00F675C4">
      <w:pPr>
        <w:rPr>
          <w:sz w:val="20"/>
          <w:szCs w:val="20"/>
          <w:lang w:val="vi-VN" w:eastAsia="en-US"/>
        </w:rPr>
      </w:pPr>
    </w:p>
    <w:p w14:paraId="0083A494" w14:textId="77777777" w:rsidR="00AE0FEE" w:rsidRPr="00F675C4" w:rsidRDefault="00AE0FEE" w:rsidP="00F675C4">
      <w:pPr>
        <w:rPr>
          <w:lang w:val="vi-VN" w:eastAsia="en-US"/>
        </w:rPr>
        <w:sectPr w:rsidR="00AE0FEE" w:rsidRPr="00F675C4" w:rsidSect="00F35663">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5309" w:h="10773" w:orient="landscape" w:code="9"/>
          <w:pgMar w:top="1247" w:right="1134" w:bottom="1247" w:left="1134" w:header="561" w:footer="561" w:gutter="0"/>
          <w:cols w:space="284"/>
          <w:titlePg/>
          <w:docGrid w:linePitch="381"/>
        </w:sectPr>
      </w:pPr>
    </w:p>
    <w:p w14:paraId="554D667B" w14:textId="77777777" w:rsidR="00E34B30" w:rsidRPr="00F43D5A" w:rsidRDefault="00E34B30" w:rsidP="00F43D5A">
      <w:pPr>
        <w:spacing w:before="0" w:after="0"/>
        <w:ind w:firstLine="284"/>
        <w:rPr>
          <w:sz w:val="20"/>
          <w:szCs w:val="20"/>
          <w:lang w:val="vi-VN"/>
        </w:rPr>
      </w:pPr>
    </w:p>
    <w:sectPr w:rsidR="00E34B30" w:rsidRPr="00F43D5A" w:rsidSect="00293C5C">
      <w:headerReference w:type="even" r:id="rId14"/>
      <w:headerReference w:type="default" r:id="rId15"/>
      <w:headerReference w:type="first" r:id="rId16"/>
      <w:endnotePr>
        <w:numFmt w:val="decimal"/>
      </w:endnotePr>
      <w:type w:val="continuous"/>
      <w:pgSz w:w="15309" w:h="10773" w:orient="landscape" w:code="9"/>
      <w:pgMar w:top="1418" w:right="1134" w:bottom="1134" w:left="1134" w:header="561" w:footer="56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B4FB6" w14:textId="77777777" w:rsidR="001D5072" w:rsidRDefault="001D5072" w:rsidP="008A6CDA">
      <w:pPr>
        <w:spacing w:after="0"/>
      </w:pPr>
      <w:r>
        <w:separator/>
      </w:r>
    </w:p>
  </w:endnote>
  <w:endnote w:type="continuationSeparator" w:id="0">
    <w:p w14:paraId="4CA287F5" w14:textId="77777777" w:rsidR="001D5072" w:rsidRDefault="001D5072" w:rsidP="008A6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T24Bo00">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A371" w14:textId="77777777" w:rsidR="00F35663" w:rsidRDefault="00F35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71DE" w14:textId="77777777" w:rsidR="00F35663" w:rsidRDefault="00F35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DE42" w14:textId="77777777" w:rsidR="00F35663" w:rsidRDefault="00F35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F2BC3" w14:textId="77777777" w:rsidR="001D5072" w:rsidRPr="008C2381" w:rsidRDefault="001D5072" w:rsidP="008C2381">
      <w:pPr>
        <w:pStyle w:val="Footer"/>
      </w:pPr>
    </w:p>
  </w:footnote>
  <w:footnote w:type="continuationSeparator" w:id="0">
    <w:p w14:paraId="1C9E28C3" w14:textId="77777777" w:rsidR="001D5072" w:rsidRPr="008C2381" w:rsidRDefault="001D5072" w:rsidP="008C2381">
      <w:pPr>
        <w:pStyle w:val="Footer"/>
      </w:pPr>
    </w:p>
  </w:footnote>
  <w:footnote w:type="continuationNotice" w:id="1">
    <w:p w14:paraId="48334087" w14:textId="77777777" w:rsidR="001D5072" w:rsidRPr="008C2381" w:rsidRDefault="001D5072" w:rsidP="008C238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6" w:space="0" w:color="auto"/>
      </w:tblBorders>
      <w:tblLook w:val="04A0" w:firstRow="1" w:lastRow="0" w:firstColumn="1" w:lastColumn="0" w:noHBand="0" w:noVBand="1"/>
    </w:tblPr>
    <w:tblGrid>
      <w:gridCol w:w="2978"/>
      <w:gridCol w:w="5244"/>
    </w:tblGrid>
    <w:tr w:rsidR="00F35663" w14:paraId="59BECCCA" w14:textId="77777777" w:rsidTr="00D27021">
      <w:tc>
        <w:tcPr>
          <w:tcW w:w="2978" w:type="dxa"/>
          <w:shd w:val="clear" w:color="auto" w:fill="auto"/>
        </w:tcPr>
        <w:p w14:paraId="06D94A44" w14:textId="17DEC732" w:rsidR="00F35663" w:rsidRDefault="00F35663" w:rsidP="00F35663">
          <w:pPr>
            <w:pStyle w:val="Header"/>
            <w:spacing w:before="120" w:after="60"/>
            <w:ind w:firstLine="0"/>
          </w:pPr>
          <w:r>
            <w:rPr>
              <w:i/>
              <w:sz w:val="24"/>
            </w:rPr>
            <w:t>Nguyễn Thị Thu Liễu và cs.</w:t>
          </w:r>
          <w:r w:rsidRPr="00903E19">
            <w:rPr>
              <w:i/>
              <w:sz w:val="24"/>
            </w:rPr>
            <w:t xml:space="preserve">                                                                  </w:t>
          </w:r>
        </w:p>
      </w:tc>
      <w:tc>
        <w:tcPr>
          <w:tcW w:w="5244" w:type="dxa"/>
          <w:shd w:val="clear" w:color="auto" w:fill="auto"/>
        </w:tcPr>
        <w:p w14:paraId="5902C14F" w14:textId="77777777" w:rsidR="00F35663" w:rsidRPr="00382BED" w:rsidRDefault="00F35663" w:rsidP="00F35663">
          <w:pPr>
            <w:pStyle w:val="Header"/>
            <w:spacing w:before="120" w:after="60"/>
            <w:ind w:firstLine="0"/>
            <w:jc w:val="right"/>
            <w:rPr>
              <w:sz w:val="24"/>
            </w:rPr>
          </w:pPr>
          <w:r>
            <w:rPr>
              <w:i/>
              <w:sz w:val="24"/>
            </w:rPr>
            <w:t>Tạp chí Dinh dưỡng và Thực phẩm</w:t>
          </w:r>
          <w:r w:rsidRPr="00382BED">
            <w:rPr>
              <w:sz w:val="24"/>
            </w:rPr>
            <w:t xml:space="preserve"> </w:t>
          </w:r>
          <w:r>
            <w:rPr>
              <w:sz w:val="24"/>
            </w:rPr>
            <w:t>21</w:t>
          </w:r>
          <w:r w:rsidRPr="00382BED">
            <w:rPr>
              <w:sz w:val="24"/>
            </w:rPr>
            <w:t>(</w:t>
          </w:r>
          <w:r>
            <w:rPr>
              <w:sz w:val="24"/>
            </w:rPr>
            <w:t>1</w:t>
          </w:r>
          <w:r w:rsidRPr="00382BED">
            <w:rPr>
              <w:sz w:val="24"/>
            </w:rPr>
            <w:t>)</w:t>
          </w:r>
          <w:r>
            <w:rPr>
              <w:sz w:val="24"/>
            </w:rPr>
            <w:sym w:font="Symbol" w:char="F02D"/>
          </w:r>
          <w:r w:rsidRPr="00382BED">
            <w:rPr>
              <w:sz w:val="24"/>
            </w:rPr>
            <w:t>202</w:t>
          </w:r>
          <w:r>
            <w:rPr>
              <w:sz w:val="24"/>
            </w:rPr>
            <w:t>5</w:t>
          </w:r>
        </w:p>
      </w:tc>
    </w:tr>
  </w:tbl>
  <w:p w14:paraId="17CD1DB0" w14:textId="63C1AB8A" w:rsidR="00F35663" w:rsidRDefault="00F35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858B" w14:textId="77777777" w:rsidR="00F35663" w:rsidRDefault="00F35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6" w:space="0" w:color="auto"/>
      </w:tblBorders>
      <w:tblLook w:val="04A0" w:firstRow="1" w:lastRow="0" w:firstColumn="1" w:lastColumn="0" w:noHBand="0" w:noVBand="1"/>
    </w:tblPr>
    <w:tblGrid>
      <w:gridCol w:w="2978"/>
      <w:gridCol w:w="5244"/>
    </w:tblGrid>
    <w:tr w:rsidR="00DE10F9" w14:paraId="612DC66B" w14:textId="77777777" w:rsidTr="006961B3">
      <w:tc>
        <w:tcPr>
          <w:tcW w:w="2978" w:type="dxa"/>
          <w:shd w:val="clear" w:color="auto" w:fill="auto"/>
        </w:tcPr>
        <w:p w14:paraId="16D5E25E" w14:textId="4368A7C9" w:rsidR="00DE10F9" w:rsidRDefault="00293C5C" w:rsidP="00C40638">
          <w:pPr>
            <w:pStyle w:val="Header"/>
            <w:spacing w:before="120" w:after="60"/>
            <w:ind w:firstLine="0"/>
          </w:pPr>
          <w:r>
            <w:rPr>
              <w:i/>
              <w:sz w:val="24"/>
            </w:rPr>
            <w:t xml:space="preserve">Nguyễn Thị Thu Liễu </w:t>
          </w:r>
          <w:r w:rsidR="00DE10F9">
            <w:rPr>
              <w:i/>
              <w:sz w:val="24"/>
            </w:rPr>
            <w:t>và cs.</w:t>
          </w:r>
          <w:r w:rsidR="00DE10F9" w:rsidRPr="00903E19">
            <w:rPr>
              <w:i/>
              <w:sz w:val="24"/>
            </w:rPr>
            <w:t xml:space="preserve">                                                                  </w:t>
          </w:r>
        </w:p>
      </w:tc>
      <w:tc>
        <w:tcPr>
          <w:tcW w:w="5244" w:type="dxa"/>
          <w:shd w:val="clear" w:color="auto" w:fill="auto"/>
        </w:tcPr>
        <w:p w14:paraId="2659E187" w14:textId="65EB8ED4" w:rsidR="00DE10F9" w:rsidRPr="00382BED" w:rsidRDefault="00DE10F9" w:rsidP="00390133">
          <w:pPr>
            <w:pStyle w:val="Header"/>
            <w:spacing w:before="120" w:after="60"/>
            <w:ind w:firstLine="0"/>
            <w:jc w:val="right"/>
            <w:rPr>
              <w:sz w:val="24"/>
            </w:rPr>
          </w:pPr>
          <w:r>
            <w:rPr>
              <w:i/>
              <w:sz w:val="24"/>
            </w:rPr>
            <w:t>Tạp chí Dinh dưỡng và Thực phẩm</w:t>
          </w:r>
          <w:r w:rsidRPr="00382BED">
            <w:rPr>
              <w:sz w:val="24"/>
            </w:rPr>
            <w:t xml:space="preserve"> </w:t>
          </w:r>
          <w:r w:rsidR="00293C5C">
            <w:rPr>
              <w:sz w:val="24"/>
            </w:rPr>
            <w:t>21</w:t>
          </w:r>
          <w:r w:rsidRPr="00382BED">
            <w:rPr>
              <w:sz w:val="24"/>
            </w:rPr>
            <w:t>(</w:t>
          </w:r>
          <w:r w:rsidR="00293C5C">
            <w:rPr>
              <w:sz w:val="24"/>
            </w:rPr>
            <w:t>1</w:t>
          </w:r>
          <w:r w:rsidRPr="00382BED">
            <w:rPr>
              <w:sz w:val="24"/>
            </w:rPr>
            <w:t>)</w:t>
          </w:r>
          <w:r>
            <w:rPr>
              <w:sz w:val="24"/>
            </w:rPr>
            <w:sym w:font="Symbol" w:char="F02D"/>
          </w:r>
          <w:r w:rsidRPr="00382BED">
            <w:rPr>
              <w:sz w:val="24"/>
            </w:rPr>
            <w:t>202</w:t>
          </w:r>
          <w:r w:rsidR="00293C5C">
            <w:rPr>
              <w:sz w:val="24"/>
            </w:rPr>
            <w:t>5</w:t>
          </w:r>
        </w:p>
      </w:tc>
    </w:tr>
  </w:tbl>
  <w:p w14:paraId="3421D090" w14:textId="77777777" w:rsidR="00DE10F9" w:rsidRPr="00F57390" w:rsidRDefault="00DE10F9" w:rsidP="00F57390">
    <w:pPr>
      <w:pStyle w:val="Header"/>
      <w:rPr>
        <w:sz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6" w:space="0" w:color="auto"/>
      </w:tblBorders>
      <w:tblLook w:val="04A0" w:firstRow="1" w:lastRow="0" w:firstColumn="1" w:lastColumn="0" w:noHBand="0" w:noVBand="1"/>
    </w:tblPr>
    <w:tblGrid>
      <w:gridCol w:w="2978"/>
      <w:gridCol w:w="5244"/>
    </w:tblGrid>
    <w:tr w:rsidR="005027DC" w:rsidRPr="00BA26D4" w14:paraId="3F673E8C" w14:textId="77777777" w:rsidTr="005E58CE">
      <w:tc>
        <w:tcPr>
          <w:tcW w:w="2978" w:type="dxa"/>
          <w:shd w:val="clear" w:color="auto" w:fill="auto"/>
        </w:tcPr>
        <w:p w14:paraId="24B4F5FE" w14:textId="77777777" w:rsidR="005027DC" w:rsidRPr="00BA26D4" w:rsidRDefault="005027DC" w:rsidP="005E58CE">
          <w:pPr>
            <w:pStyle w:val="Header"/>
            <w:spacing w:before="120" w:after="60"/>
            <w:ind w:firstLine="0"/>
            <w:rPr>
              <w:i/>
            </w:rPr>
          </w:pPr>
          <w:r w:rsidRPr="00BA26D4">
            <w:rPr>
              <w:i/>
              <w:sz w:val="24"/>
            </w:rPr>
            <w:t xml:space="preserve">Nguyễn </w:t>
          </w:r>
          <w:r>
            <w:rPr>
              <w:i/>
              <w:sz w:val="24"/>
            </w:rPr>
            <w:t>Xuân Ninh</w:t>
          </w:r>
          <w:r w:rsidRPr="00BA26D4">
            <w:rPr>
              <w:i/>
              <w:sz w:val="24"/>
            </w:rPr>
            <w:t xml:space="preserve"> và cs.                                                                  </w:t>
          </w:r>
        </w:p>
      </w:tc>
      <w:tc>
        <w:tcPr>
          <w:tcW w:w="5244" w:type="dxa"/>
          <w:shd w:val="clear" w:color="auto" w:fill="auto"/>
        </w:tcPr>
        <w:p w14:paraId="4D4DDEC0" w14:textId="77777777" w:rsidR="005027DC" w:rsidRPr="00BA26D4" w:rsidRDefault="005027DC" w:rsidP="005E58CE">
          <w:pPr>
            <w:pStyle w:val="Header"/>
            <w:spacing w:before="120" w:after="60"/>
            <w:ind w:firstLine="0"/>
            <w:jc w:val="right"/>
            <w:rPr>
              <w:i/>
              <w:sz w:val="24"/>
            </w:rPr>
          </w:pPr>
          <w:r w:rsidRPr="00BA26D4">
            <w:rPr>
              <w:i/>
              <w:sz w:val="24"/>
            </w:rPr>
            <w:t>Tạp chí Dinh dưỡng và Thực phẩm 18(3+4)</w:t>
          </w:r>
          <w:r w:rsidRPr="00BA26D4">
            <w:rPr>
              <w:i/>
              <w:sz w:val="24"/>
            </w:rPr>
            <w:sym w:font="Symbol" w:char="F02D"/>
          </w:r>
          <w:r w:rsidRPr="00BA26D4">
            <w:rPr>
              <w:i/>
              <w:sz w:val="24"/>
            </w:rPr>
            <w:t>2022</w:t>
          </w:r>
        </w:p>
      </w:tc>
    </w:tr>
  </w:tbl>
  <w:p w14:paraId="76D74FAE" w14:textId="77777777" w:rsidR="005027DC" w:rsidRPr="005027DC" w:rsidRDefault="005027DC">
    <w:pPr>
      <w:pStyle w:val="Head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1C90" w14:textId="77777777" w:rsidR="001676CE" w:rsidRDefault="001676C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1EA1" w14:textId="77777777" w:rsidR="001676CE" w:rsidRDefault="001676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B0A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E5007E"/>
    <w:multiLevelType w:val="multilevel"/>
    <w:tmpl w:val="21E5007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98732AA"/>
    <w:multiLevelType w:val="multilevel"/>
    <w:tmpl w:val="398732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3FDC25F9"/>
    <w:multiLevelType w:val="multilevel"/>
    <w:tmpl w:val="AFA6161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0E14602"/>
    <w:multiLevelType w:val="hybridMultilevel"/>
    <w:tmpl w:val="6D282406"/>
    <w:lvl w:ilvl="0" w:tplc="45902E1A">
      <w:start w:val="1"/>
      <w:numFmt w:val="decimal"/>
      <w:pStyle w:val="ndtltk"/>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B74E83"/>
    <w:multiLevelType w:val="multilevel"/>
    <w:tmpl w:val="3FE8395C"/>
    <w:lvl w:ilvl="0">
      <w:start w:val="1"/>
      <w:numFmt w:val="decimal"/>
      <w:lvlText w:val="%1."/>
      <w:lvlJc w:val="left"/>
      <w:pPr>
        <w:ind w:left="450" w:hanging="450"/>
      </w:pPr>
      <w:rPr>
        <w:rFonts w:hint="default"/>
      </w:rPr>
    </w:lvl>
    <w:lvl w:ilvl="1">
      <w:start w:val="1"/>
      <w:numFmt w:val="decimal"/>
      <w:lvlText w:val="%1.%2."/>
      <w:lvlJc w:val="left"/>
      <w:pPr>
        <w:ind w:left="1028" w:hanging="720"/>
      </w:pPr>
      <w:rPr>
        <w:rFonts w:hint="default"/>
      </w:rPr>
    </w:lvl>
    <w:lvl w:ilvl="2">
      <w:start w:val="1"/>
      <w:numFmt w:val="decimal"/>
      <w:lvlText w:val="%1.%2.%3."/>
      <w:lvlJc w:val="left"/>
      <w:pPr>
        <w:ind w:left="1336" w:hanging="720"/>
      </w:pPr>
      <w:rPr>
        <w:rFonts w:hint="default"/>
      </w:rPr>
    </w:lvl>
    <w:lvl w:ilvl="3">
      <w:start w:val="1"/>
      <w:numFmt w:val="decimal"/>
      <w:lvlText w:val="%1.%2.%3.%4."/>
      <w:lvlJc w:val="left"/>
      <w:pPr>
        <w:ind w:left="2004" w:hanging="1080"/>
      </w:pPr>
      <w:rPr>
        <w:rFonts w:ascii="Times New Roman" w:hAnsi="Times New Roman" w:cs="Times New Roman" w:hint="default"/>
        <w:i w:val="0"/>
        <w:color w:val="auto"/>
        <w:sz w:val="26"/>
        <w:szCs w:val="26"/>
      </w:rPr>
    </w:lvl>
    <w:lvl w:ilvl="4">
      <w:start w:val="1"/>
      <w:numFmt w:val="decimal"/>
      <w:lvlText w:val="%1.%2.%3.%4.%5."/>
      <w:lvlJc w:val="left"/>
      <w:pPr>
        <w:ind w:left="2312" w:hanging="108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3956" w:hanging="1800"/>
      </w:pPr>
      <w:rPr>
        <w:rFonts w:hint="default"/>
      </w:rPr>
    </w:lvl>
    <w:lvl w:ilvl="8">
      <w:start w:val="1"/>
      <w:numFmt w:val="decimal"/>
      <w:lvlText w:val="%1.%2.%3.%4.%5.%6.%7.%8.%9."/>
      <w:lvlJc w:val="left"/>
      <w:pPr>
        <w:ind w:left="4624" w:hanging="2160"/>
      </w:pPr>
      <w:rPr>
        <w:rFonts w:hint="default"/>
      </w:rPr>
    </w:lvl>
  </w:abstractNum>
  <w:abstractNum w:abstractNumId="6" w15:restartNumberingAfterBreak="0">
    <w:nsid w:val="445115C5"/>
    <w:multiLevelType w:val="multilevel"/>
    <w:tmpl w:val="A172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8B49C1"/>
    <w:multiLevelType w:val="multilevel"/>
    <w:tmpl w:val="62442978"/>
    <w:lvl w:ilvl="0">
      <w:start w:val="1"/>
      <w:numFmt w:val="decimal"/>
      <w:pStyle w:val="L1"/>
      <w:suff w:val="nothing"/>
      <w:lvlText w:val="CHƯƠNG %1"/>
      <w:lvlJc w:val="left"/>
      <w:pPr>
        <w:ind w:left="0" w:firstLine="0"/>
      </w:pPr>
      <w:rPr>
        <w:rFonts w:ascii="Times New Roman" w:hAnsi="Times New Roman" w:hint="default"/>
        <w:b/>
        <w:i w:val="0"/>
        <w:sz w:val="28"/>
      </w:rPr>
    </w:lvl>
    <w:lvl w:ilvl="1">
      <w:start w:val="1"/>
      <w:numFmt w:val="decimal"/>
      <w:pStyle w:val="L2"/>
      <w:suff w:val="space"/>
      <w:lvlText w:val="%1.%2."/>
      <w:lvlJc w:val="left"/>
      <w:pPr>
        <w:ind w:left="720" w:hanging="720"/>
      </w:pPr>
      <w:rPr>
        <w:rFonts w:ascii="Times New Roman" w:hAnsi="Times New Roman" w:hint="default"/>
        <w:b/>
        <w:i w:val="0"/>
        <w:sz w:val="28"/>
      </w:rPr>
    </w:lvl>
    <w:lvl w:ilvl="2">
      <w:start w:val="1"/>
      <w:numFmt w:val="decimal"/>
      <w:pStyle w:val="L3"/>
      <w:suff w:val="space"/>
      <w:lvlText w:val="%1.%2.%3."/>
      <w:lvlJc w:val="left"/>
      <w:pPr>
        <w:ind w:left="3414" w:hanging="720"/>
      </w:pPr>
      <w:rPr>
        <w:rFonts w:ascii="Times New Roman" w:hAnsi="Times New Roman" w:hint="default"/>
        <w:b/>
        <w:i w:val="0"/>
        <w:sz w:val="28"/>
      </w:rPr>
    </w:lvl>
    <w:lvl w:ilvl="3">
      <w:start w:val="1"/>
      <w:numFmt w:val="decimal"/>
      <w:pStyle w:val="L4"/>
      <w:suff w:val="space"/>
      <w:lvlText w:val="%1.%2.%3.%4."/>
      <w:lvlJc w:val="left"/>
      <w:pPr>
        <w:ind w:left="567" w:firstLine="0"/>
      </w:pPr>
      <w:rPr>
        <w:rFonts w:ascii="Times New Roman" w:hAnsi="Times New Roman" w:hint="default"/>
        <w:b w:val="0"/>
        <w:i/>
        <w:sz w:val="2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68055A4"/>
    <w:multiLevelType w:val="hybridMultilevel"/>
    <w:tmpl w:val="DF509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B3FFA"/>
    <w:multiLevelType w:val="hybridMultilevel"/>
    <w:tmpl w:val="42F29DF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4C9D5A18"/>
    <w:multiLevelType w:val="hybridMultilevel"/>
    <w:tmpl w:val="0F62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3A7BFD"/>
    <w:multiLevelType w:val="hybridMultilevel"/>
    <w:tmpl w:val="77EE72B4"/>
    <w:lvl w:ilvl="0" w:tplc="97DE85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052ED0"/>
    <w:multiLevelType w:val="multilevel"/>
    <w:tmpl w:val="57052ED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5EFC2B66"/>
    <w:multiLevelType w:val="hybridMultilevel"/>
    <w:tmpl w:val="58A29110"/>
    <w:lvl w:ilvl="0" w:tplc="E280D86C">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A51EE"/>
    <w:multiLevelType w:val="hybridMultilevel"/>
    <w:tmpl w:val="BE5A326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15:restartNumberingAfterBreak="0">
    <w:nsid w:val="65AC3AF7"/>
    <w:multiLevelType w:val="hybridMultilevel"/>
    <w:tmpl w:val="155481E2"/>
    <w:lvl w:ilvl="0" w:tplc="C570E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56AB2"/>
    <w:multiLevelType w:val="hybridMultilevel"/>
    <w:tmpl w:val="9EB410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D821C5"/>
    <w:multiLevelType w:val="hybridMultilevel"/>
    <w:tmpl w:val="2A123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5C1CCC"/>
    <w:multiLevelType w:val="hybridMultilevel"/>
    <w:tmpl w:val="F9665596"/>
    <w:lvl w:ilvl="0" w:tplc="AFDCFD8A">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9" w15:restartNumberingAfterBreak="0">
    <w:nsid w:val="7F2B599E"/>
    <w:multiLevelType w:val="hybridMultilevel"/>
    <w:tmpl w:val="B5E46D5E"/>
    <w:lvl w:ilvl="0" w:tplc="CF4E85D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17"/>
  </w:num>
  <w:num w:numId="6">
    <w:abstractNumId w:val="7"/>
  </w:num>
  <w:num w:numId="7">
    <w:abstractNumId w:val="18"/>
  </w:num>
  <w:num w:numId="8">
    <w:abstractNumId w:val="19"/>
  </w:num>
  <w:num w:numId="9">
    <w:abstractNumId w:val="16"/>
  </w:num>
  <w:num w:numId="10">
    <w:abstractNumId w:val="8"/>
  </w:num>
  <w:num w:numId="11">
    <w:abstractNumId w:val="9"/>
  </w:num>
  <w:num w:numId="12">
    <w:abstractNumId w:val="11"/>
  </w:num>
  <w:num w:numId="13">
    <w:abstractNumId w:val="13"/>
  </w:num>
  <w:num w:numId="14">
    <w:abstractNumId w:val="10"/>
  </w:num>
  <w:num w:numId="15">
    <w:abstractNumId w:val="15"/>
  </w:num>
  <w:num w:numId="16">
    <w:abstractNumId w:val="2"/>
  </w:num>
  <w:num w:numId="17">
    <w:abstractNumId w:val="1"/>
  </w:num>
  <w:num w:numId="18">
    <w:abstractNumId w:val="12"/>
  </w:num>
  <w:num w:numId="19">
    <w:abstractNumId w:val="14"/>
  </w:num>
  <w:num w:numId="2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Euro J Clin Nutrition 1&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tp9r09xzkxxezzevws852xerwtaaadrf0wsv&quot;&gt;OBESITY ENDNOTE&lt;record-ids&gt;&lt;item&gt;180&lt;/item&gt;&lt;item&gt;195&lt;/item&gt;&lt;item&gt;250&lt;/item&gt;&lt;item&gt;272&lt;/item&gt;&lt;item&gt;287&lt;/item&gt;&lt;item&gt;296&lt;/item&gt;&lt;item&gt;361&lt;/item&gt;&lt;item&gt;366&lt;/item&gt;&lt;item&gt;411&lt;/item&gt;&lt;item&gt;460&lt;/item&gt;&lt;item&gt;469&lt;/item&gt;&lt;item&gt;487&lt;/item&gt;&lt;item&gt;495&lt;/item&gt;&lt;item&gt;571&lt;/item&gt;&lt;item&gt;582&lt;/item&gt;&lt;item&gt;598&lt;/item&gt;&lt;item&gt;659&lt;/item&gt;&lt;item&gt;664&lt;/item&gt;&lt;item&gt;707&lt;/item&gt;&lt;item&gt;722&lt;/item&gt;&lt;item&gt;740&lt;/item&gt;&lt;item&gt;746&lt;/item&gt;&lt;item&gt;758&lt;/item&gt;&lt;item&gt;820&lt;/item&gt;&lt;item&gt;1182&lt;/item&gt;&lt;/record-ids&gt;&lt;/item&gt;&lt;/Libraries&gt;"/>
  </w:docVars>
  <w:rsids>
    <w:rsidRoot w:val="008A6CDA"/>
    <w:rsid w:val="000002E2"/>
    <w:rsid w:val="00002787"/>
    <w:rsid w:val="00002D8C"/>
    <w:rsid w:val="00002E79"/>
    <w:rsid w:val="000052AA"/>
    <w:rsid w:val="00005545"/>
    <w:rsid w:val="00005F37"/>
    <w:rsid w:val="00007E82"/>
    <w:rsid w:val="000105B8"/>
    <w:rsid w:val="0001126D"/>
    <w:rsid w:val="000115B5"/>
    <w:rsid w:val="00012F53"/>
    <w:rsid w:val="00015C3A"/>
    <w:rsid w:val="00016903"/>
    <w:rsid w:val="00016B21"/>
    <w:rsid w:val="000216C7"/>
    <w:rsid w:val="00021A75"/>
    <w:rsid w:val="00021E41"/>
    <w:rsid w:val="0002278E"/>
    <w:rsid w:val="00022F2A"/>
    <w:rsid w:val="00024821"/>
    <w:rsid w:val="00027770"/>
    <w:rsid w:val="000277DA"/>
    <w:rsid w:val="00027B8B"/>
    <w:rsid w:val="00031EB5"/>
    <w:rsid w:val="0003263E"/>
    <w:rsid w:val="00032D73"/>
    <w:rsid w:val="00033253"/>
    <w:rsid w:val="00033D33"/>
    <w:rsid w:val="00034681"/>
    <w:rsid w:val="00036740"/>
    <w:rsid w:val="00040324"/>
    <w:rsid w:val="00041240"/>
    <w:rsid w:val="000412D8"/>
    <w:rsid w:val="000440A1"/>
    <w:rsid w:val="00045534"/>
    <w:rsid w:val="000462D6"/>
    <w:rsid w:val="00047EFB"/>
    <w:rsid w:val="0005155B"/>
    <w:rsid w:val="00051C96"/>
    <w:rsid w:val="00051E70"/>
    <w:rsid w:val="00053591"/>
    <w:rsid w:val="0005580C"/>
    <w:rsid w:val="00056E78"/>
    <w:rsid w:val="00057A88"/>
    <w:rsid w:val="00057C0D"/>
    <w:rsid w:val="00062D41"/>
    <w:rsid w:val="00063265"/>
    <w:rsid w:val="000638AB"/>
    <w:rsid w:val="00063BB5"/>
    <w:rsid w:val="00063F27"/>
    <w:rsid w:val="000649AD"/>
    <w:rsid w:val="0006530C"/>
    <w:rsid w:val="000661EA"/>
    <w:rsid w:val="00066F2E"/>
    <w:rsid w:val="000702B6"/>
    <w:rsid w:val="00070457"/>
    <w:rsid w:val="00070717"/>
    <w:rsid w:val="00070AEB"/>
    <w:rsid w:val="00071289"/>
    <w:rsid w:val="00071EF8"/>
    <w:rsid w:val="00072AAA"/>
    <w:rsid w:val="00073181"/>
    <w:rsid w:val="00075379"/>
    <w:rsid w:val="00081567"/>
    <w:rsid w:val="00082821"/>
    <w:rsid w:val="00092D62"/>
    <w:rsid w:val="00093128"/>
    <w:rsid w:val="00093187"/>
    <w:rsid w:val="0009399E"/>
    <w:rsid w:val="00093B68"/>
    <w:rsid w:val="000949AB"/>
    <w:rsid w:val="00094B27"/>
    <w:rsid w:val="0009639C"/>
    <w:rsid w:val="00096627"/>
    <w:rsid w:val="00096836"/>
    <w:rsid w:val="00096CB7"/>
    <w:rsid w:val="000A0A5D"/>
    <w:rsid w:val="000A0BA1"/>
    <w:rsid w:val="000A2503"/>
    <w:rsid w:val="000A2E56"/>
    <w:rsid w:val="000A75A0"/>
    <w:rsid w:val="000A7E2F"/>
    <w:rsid w:val="000B0167"/>
    <w:rsid w:val="000B0D3F"/>
    <w:rsid w:val="000B14F2"/>
    <w:rsid w:val="000B202C"/>
    <w:rsid w:val="000B24F5"/>
    <w:rsid w:val="000B3017"/>
    <w:rsid w:val="000B41DE"/>
    <w:rsid w:val="000B4374"/>
    <w:rsid w:val="000B43A0"/>
    <w:rsid w:val="000B4DFD"/>
    <w:rsid w:val="000B60BB"/>
    <w:rsid w:val="000C003C"/>
    <w:rsid w:val="000C012F"/>
    <w:rsid w:val="000C0441"/>
    <w:rsid w:val="000C0642"/>
    <w:rsid w:val="000C0D91"/>
    <w:rsid w:val="000C1553"/>
    <w:rsid w:val="000C17A9"/>
    <w:rsid w:val="000C490A"/>
    <w:rsid w:val="000C513A"/>
    <w:rsid w:val="000C5318"/>
    <w:rsid w:val="000C5734"/>
    <w:rsid w:val="000C5E96"/>
    <w:rsid w:val="000C6A26"/>
    <w:rsid w:val="000D069B"/>
    <w:rsid w:val="000D0C55"/>
    <w:rsid w:val="000D1A37"/>
    <w:rsid w:val="000D27F5"/>
    <w:rsid w:val="000D2FBD"/>
    <w:rsid w:val="000D7508"/>
    <w:rsid w:val="000D7C3E"/>
    <w:rsid w:val="000D7FCF"/>
    <w:rsid w:val="000E0AEA"/>
    <w:rsid w:val="000E0E2F"/>
    <w:rsid w:val="000E1C8A"/>
    <w:rsid w:val="000E2DAE"/>
    <w:rsid w:val="000E2ED8"/>
    <w:rsid w:val="000E3553"/>
    <w:rsid w:val="000E435B"/>
    <w:rsid w:val="000E6BBC"/>
    <w:rsid w:val="000E79C3"/>
    <w:rsid w:val="000F0C9C"/>
    <w:rsid w:val="000F15F7"/>
    <w:rsid w:val="000F33B7"/>
    <w:rsid w:val="000F3ACA"/>
    <w:rsid w:val="000F49D0"/>
    <w:rsid w:val="000F6D59"/>
    <w:rsid w:val="000F7B6D"/>
    <w:rsid w:val="000F7F09"/>
    <w:rsid w:val="00101A21"/>
    <w:rsid w:val="00102DD3"/>
    <w:rsid w:val="00103BB6"/>
    <w:rsid w:val="0010487E"/>
    <w:rsid w:val="00105951"/>
    <w:rsid w:val="00111710"/>
    <w:rsid w:val="001123E1"/>
    <w:rsid w:val="00115A74"/>
    <w:rsid w:val="0011711C"/>
    <w:rsid w:val="001172DF"/>
    <w:rsid w:val="00117D63"/>
    <w:rsid w:val="00120C9A"/>
    <w:rsid w:val="00124A13"/>
    <w:rsid w:val="0012609E"/>
    <w:rsid w:val="001264FB"/>
    <w:rsid w:val="00132444"/>
    <w:rsid w:val="00133D81"/>
    <w:rsid w:val="001349A5"/>
    <w:rsid w:val="0013522D"/>
    <w:rsid w:val="0013659E"/>
    <w:rsid w:val="001365C2"/>
    <w:rsid w:val="00136A74"/>
    <w:rsid w:val="0013726E"/>
    <w:rsid w:val="00142D15"/>
    <w:rsid w:val="001441B6"/>
    <w:rsid w:val="00146473"/>
    <w:rsid w:val="00146527"/>
    <w:rsid w:val="00146B84"/>
    <w:rsid w:val="0014720C"/>
    <w:rsid w:val="00150E3D"/>
    <w:rsid w:val="001517B5"/>
    <w:rsid w:val="00152625"/>
    <w:rsid w:val="0015336A"/>
    <w:rsid w:val="00155637"/>
    <w:rsid w:val="00155C09"/>
    <w:rsid w:val="00155FFC"/>
    <w:rsid w:val="00156A82"/>
    <w:rsid w:val="001570B7"/>
    <w:rsid w:val="00157AB0"/>
    <w:rsid w:val="00162C84"/>
    <w:rsid w:val="00163133"/>
    <w:rsid w:val="00163F29"/>
    <w:rsid w:val="00164D50"/>
    <w:rsid w:val="0016547F"/>
    <w:rsid w:val="00166769"/>
    <w:rsid w:val="00166C68"/>
    <w:rsid w:val="001674C3"/>
    <w:rsid w:val="001676CE"/>
    <w:rsid w:val="00167ADF"/>
    <w:rsid w:val="00167C2B"/>
    <w:rsid w:val="001701A2"/>
    <w:rsid w:val="001707B5"/>
    <w:rsid w:val="00170EC4"/>
    <w:rsid w:val="00171D39"/>
    <w:rsid w:val="001727C3"/>
    <w:rsid w:val="00172DBE"/>
    <w:rsid w:val="001741B4"/>
    <w:rsid w:val="00175D62"/>
    <w:rsid w:val="00177AE3"/>
    <w:rsid w:val="00177D87"/>
    <w:rsid w:val="001806B7"/>
    <w:rsid w:val="00181FD5"/>
    <w:rsid w:val="00182E6E"/>
    <w:rsid w:val="00183775"/>
    <w:rsid w:val="00185A41"/>
    <w:rsid w:val="001864E2"/>
    <w:rsid w:val="0019061E"/>
    <w:rsid w:val="00190EC7"/>
    <w:rsid w:val="00191180"/>
    <w:rsid w:val="00191702"/>
    <w:rsid w:val="001919B2"/>
    <w:rsid w:val="00193233"/>
    <w:rsid w:val="00195D72"/>
    <w:rsid w:val="00195DC9"/>
    <w:rsid w:val="001963CC"/>
    <w:rsid w:val="00196438"/>
    <w:rsid w:val="00197C31"/>
    <w:rsid w:val="001A0C88"/>
    <w:rsid w:val="001A1758"/>
    <w:rsid w:val="001A1DFD"/>
    <w:rsid w:val="001A464A"/>
    <w:rsid w:val="001A56CE"/>
    <w:rsid w:val="001A599A"/>
    <w:rsid w:val="001A6C57"/>
    <w:rsid w:val="001A6FF6"/>
    <w:rsid w:val="001A7B63"/>
    <w:rsid w:val="001A7F4C"/>
    <w:rsid w:val="001B07A7"/>
    <w:rsid w:val="001B08C6"/>
    <w:rsid w:val="001B3A6F"/>
    <w:rsid w:val="001B4397"/>
    <w:rsid w:val="001B59FC"/>
    <w:rsid w:val="001B66ED"/>
    <w:rsid w:val="001B747A"/>
    <w:rsid w:val="001B7740"/>
    <w:rsid w:val="001C168A"/>
    <w:rsid w:val="001C16C6"/>
    <w:rsid w:val="001C3ACD"/>
    <w:rsid w:val="001C3F63"/>
    <w:rsid w:val="001C3F9D"/>
    <w:rsid w:val="001C5F15"/>
    <w:rsid w:val="001C67B6"/>
    <w:rsid w:val="001C6EB6"/>
    <w:rsid w:val="001C78DE"/>
    <w:rsid w:val="001D0B01"/>
    <w:rsid w:val="001D2A6C"/>
    <w:rsid w:val="001D2FB8"/>
    <w:rsid w:val="001D3481"/>
    <w:rsid w:val="001D3912"/>
    <w:rsid w:val="001D49A5"/>
    <w:rsid w:val="001D5072"/>
    <w:rsid w:val="001D6685"/>
    <w:rsid w:val="001D66C5"/>
    <w:rsid w:val="001D6C29"/>
    <w:rsid w:val="001D6D00"/>
    <w:rsid w:val="001D7565"/>
    <w:rsid w:val="001E1DFC"/>
    <w:rsid w:val="001E2D13"/>
    <w:rsid w:val="001E4C36"/>
    <w:rsid w:val="001E6C7E"/>
    <w:rsid w:val="001E737D"/>
    <w:rsid w:val="001E7D4E"/>
    <w:rsid w:val="001F0A38"/>
    <w:rsid w:val="001F0BCF"/>
    <w:rsid w:val="001F3BB7"/>
    <w:rsid w:val="001F4165"/>
    <w:rsid w:val="001F4C90"/>
    <w:rsid w:val="001F5EB6"/>
    <w:rsid w:val="001F6D0A"/>
    <w:rsid w:val="001F6D75"/>
    <w:rsid w:val="0020006C"/>
    <w:rsid w:val="00202E1D"/>
    <w:rsid w:val="00203358"/>
    <w:rsid w:val="002041EB"/>
    <w:rsid w:val="002043D2"/>
    <w:rsid w:val="00205EA9"/>
    <w:rsid w:val="00206481"/>
    <w:rsid w:val="00206F98"/>
    <w:rsid w:val="00207D3A"/>
    <w:rsid w:val="00210518"/>
    <w:rsid w:val="00213345"/>
    <w:rsid w:val="002136A9"/>
    <w:rsid w:val="0021393B"/>
    <w:rsid w:val="00213BED"/>
    <w:rsid w:val="00215B7F"/>
    <w:rsid w:val="00220466"/>
    <w:rsid w:val="0022262B"/>
    <w:rsid w:val="00222C36"/>
    <w:rsid w:val="00224741"/>
    <w:rsid w:val="0022522F"/>
    <w:rsid w:val="00226E25"/>
    <w:rsid w:val="002274D5"/>
    <w:rsid w:val="002278AB"/>
    <w:rsid w:val="0022798B"/>
    <w:rsid w:val="00227A86"/>
    <w:rsid w:val="00231BDE"/>
    <w:rsid w:val="00232EC0"/>
    <w:rsid w:val="00233161"/>
    <w:rsid w:val="00236789"/>
    <w:rsid w:val="00236A21"/>
    <w:rsid w:val="00237AC1"/>
    <w:rsid w:val="00240273"/>
    <w:rsid w:val="002412AA"/>
    <w:rsid w:val="002421CC"/>
    <w:rsid w:val="00242626"/>
    <w:rsid w:val="00243605"/>
    <w:rsid w:val="00243AA3"/>
    <w:rsid w:val="00243B0D"/>
    <w:rsid w:val="00244710"/>
    <w:rsid w:val="00244F47"/>
    <w:rsid w:val="00245918"/>
    <w:rsid w:val="002459A7"/>
    <w:rsid w:val="00245EB0"/>
    <w:rsid w:val="00246140"/>
    <w:rsid w:val="00251377"/>
    <w:rsid w:val="0025222A"/>
    <w:rsid w:val="00252327"/>
    <w:rsid w:val="00252EB2"/>
    <w:rsid w:val="002531E8"/>
    <w:rsid w:val="00253202"/>
    <w:rsid w:val="00254AB4"/>
    <w:rsid w:val="00256801"/>
    <w:rsid w:val="00257B6A"/>
    <w:rsid w:val="00257EAE"/>
    <w:rsid w:val="00260AD4"/>
    <w:rsid w:val="00261F2A"/>
    <w:rsid w:val="002629A3"/>
    <w:rsid w:val="00263322"/>
    <w:rsid w:val="00263514"/>
    <w:rsid w:val="00263976"/>
    <w:rsid w:val="0026428C"/>
    <w:rsid w:val="00266CD2"/>
    <w:rsid w:val="002671CE"/>
    <w:rsid w:val="00267E87"/>
    <w:rsid w:val="0027147B"/>
    <w:rsid w:val="00271CB7"/>
    <w:rsid w:val="0027351A"/>
    <w:rsid w:val="00273E45"/>
    <w:rsid w:val="00274771"/>
    <w:rsid w:val="00276E3F"/>
    <w:rsid w:val="0027716E"/>
    <w:rsid w:val="002803B2"/>
    <w:rsid w:val="00281226"/>
    <w:rsid w:val="002834DE"/>
    <w:rsid w:val="00283BA9"/>
    <w:rsid w:val="002848C6"/>
    <w:rsid w:val="002855FE"/>
    <w:rsid w:val="00291276"/>
    <w:rsid w:val="00293C5C"/>
    <w:rsid w:val="0029431F"/>
    <w:rsid w:val="002949D7"/>
    <w:rsid w:val="00294D72"/>
    <w:rsid w:val="0029575C"/>
    <w:rsid w:val="00296E96"/>
    <w:rsid w:val="00297842"/>
    <w:rsid w:val="002A1613"/>
    <w:rsid w:val="002A172B"/>
    <w:rsid w:val="002A2499"/>
    <w:rsid w:val="002A3CA7"/>
    <w:rsid w:val="002A4F76"/>
    <w:rsid w:val="002A5572"/>
    <w:rsid w:val="002A55C8"/>
    <w:rsid w:val="002A68A7"/>
    <w:rsid w:val="002B0AD0"/>
    <w:rsid w:val="002B11A7"/>
    <w:rsid w:val="002B1E61"/>
    <w:rsid w:val="002B243B"/>
    <w:rsid w:val="002B3554"/>
    <w:rsid w:val="002B3D61"/>
    <w:rsid w:val="002B3E2D"/>
    <w:rsid w:val="002B3F7E"/>
    <w:rsid w:val="002B4404"/>
    <w:rsid w:val="002B5079"/>
    <w:rsid w:val="002C1AF1"/>
    <w:rsid w:val="002C25BB"/>
    <w:rsid w:val="002C2A13"/>
    <w:rsid w:val="002C3801"/>
    <w:rsid w:val="002C3CDA"/>
    <w:rsid w:val="002C4458"/>
    <w:rsid w:val="002C5601"/>
    <w:rsid w:val="002C62C1"/>
    <w:rsid w:val="002C6631"/>
    <w:rsid w:val="002D0B5D"/>
    <w:rsid w:val="002D0F67"/>
    <w:rsid w:val="002D1242"/>
    <w:rsid w:val="002D1875"/>
    <w:rsid w:val="002D31E2"/>
    <w:rsid w:val="002D5370"/>
    <w:rsid w:val="002D61DF"/>
    <w:rsid w:val="002D7AC4"/>
    <w:rsid w:val="002D7FE0"/>
    <w:rsid w:val="002E1607"/>
    <w:rsid w:val="002E2313"/>
    <w:rsid w:val="002E2E73"/>
    <w:rsid w:val="002E4CDA"/>
    <w:rsid w:val="002E60D6"/>
    <w:rsid w:val="002E7064"/>
    <w:rsid w:val="002F2466"/>
    <w:rsid w:val="002F5CDA"/>
    <w:rsid w:val="002F695A"/>
    <w:rsid w:val="003009F7"/>
    <w:rsid w:val="00301579"/>
    <w:rsid w:val="003024D3"/>
    <w:rsid w:val="00304684"/>
    <w:rsid w:val="003049D6"/>
    <w:rsid w:val="00305F66"/>
    <w:rsid w:val="003061BF"/>
    <w:rsid w:val="00307208"/>
    <w:rsid w:val="00310373"/>
    <w:rsid w:val="0031061D"/>
    <w:rsid w:val="003112C7"/>
    <w:rsid w:val="00311E67"/>
    <w:rsid w:val="003150BF"/>
    <w:rsid w:val="00316E4B"/>
    <w:rsid w:val="003172F3"/>
    <w:rsid w:val="003207BB"/>
    <w:rsid w:val="00320CDC"/>
    <w:rsid w:val="00320DA0"/>
    <w:rsid w:val="00320F45"/>
    <w:rsid w:val="0032107D"/>
    <w:rsid w:val="00324A7B"/>
    <w:rsid w:val="00324F8F"/>
    <w:rsid w:val="00326B61"/>
    <w:rsid w:val="0033031E"/>
    <w:rsid w:val="0033134D"/>
    <w:rsid w:val="00331EEF"/>
    <w:rsid w:val="00334495"/>
    <w:rsid w:val="00334EDD"/>
    <w:rsid w:val="00336A62"/>
    <w:rsid w:val="00337613"/>
    <w:rsid w:val="003436A2"/>
    <w:rsid w:val="00343ECD"/>
    <w:rsid w:val="0034449D"/>
    <w:rsid w:val="00344581"/>
    <w:rsid w:val="003446BB"/>
    <w:rsid w:val="00344FCC"/>
    <w:rsid w:val="00345714"/>
    <w:rsid w:val="00351195"/>
    <w:rsid w:val="0035164B"/>
    <w:rsid w:val="0035166A"/>
    <w:rsid w:val="0035186B"/>
    <w:rsid w:val="003545B3"/>
    <w:rsid w:val="003569B7"/>
    <w:rsid w:val="00356F71"/>
    <w:rsid w:val="00357513"/>
    <w:rsid w:val="0035768C"/>
    <w:rsid w:val="003579C2"/>
    <w:rsid w:val="00357E5F"/>
    <w:rsid w:val="00361A28"/>
    <w:rsid w:val="00361B22"/>
    <w:rsid w:val="00362EB0"/>
    <w:rsid w:val="00363042"/>
    <w:rsid w:val="00363519"/>
    <w:rsid w:val="003644CC"/>
    <w:rsid w:val="00365C06"/>
    <w:rsid w:val="00366BC1"/>
    <w:rsid w:val="00370189"/>
    <w:rsid w:val="00372E1E"/>
    <w:rsid w:val="0037330C"/>
    <w:rsid w:val="00373720"/>
    <w:rsid w:val="003745E9"/>
    <w:rsid w:val="00376308"/>
    <w:rsid w:val="00380A09"/>
    <w:rsid w:val="00380B45"/>
    <w:rsid w:val="003819C9"/>
    <w:rsid w:val="00381C0D"/>
    <w:rsid w:val="00381FD9"/>
    <w:rsid w:val="00382BED"/>
    <w:rsid w:val="00382DAC"/>
    <w:rsid w:val="00382F67"/>
    <w:rsid w:val="00383AEE"/>
    <w:rsid w:val="0038531E"/>
    <w:rsid w:val="0038623F"/>
    <w:rsid w:val="00387432"/>
    <w:rsid w:val="003900CA"/>
    <w:rsid w:val="00390133"/>
    <w:rsid w:val="0039046A"/>
    <w:rsid w:val="00397A6E"/>
    <w:rsid w:val="003A0074"/>
    <w:rsid w:val="003A092F"/>
    <w:rsid w:val="003A0B36"/>
    <w:rsid w:val="003A1443"/>
    <w:rsid w:val="003A3E89"/>
    <w:rsid w:val="003A441C"/>
    <w:rsid w:val="003A464E"/>
    <w:rsid w:val="003A4E0E"/>
    <w:rsid w:val="003A5003"/>
    <w:rsid w:val="003A5C11"/>
    <w:rsid w:val="003A6926"/>
    <w:rsid w:val="003A7732"/>
    <w:rsid w:val="003B3CB0"/>
    <w:rsid w:val="003B3F6C"/>
    <w:rsid w:val="003B4BCB"/>
    <w:rsid w:val="003B55FD"/>
    <w:rsid w:val="003B6170"/>
    <w:rsid w:val="003C1935"/>
    <w:rsid w:val="003C2B9F"/>
    <w:rsid w:val="003C359C"/>
    <w:rsid w:val="003C3D55"/>
    <w:rsid w:val="003C48FE"/>
    <w:rsid w:val="003C5485"/>
    <w:rsid w:val="003C5970"/>
    <w:rsid w:val="003C60E3"/>
    <w:rsid w:val="003C63E5"/>
    <w:rsid w:val="003C6AB6"/>
    <w:rsid w:val="003D0921"/>
    <w:rsid w:val="003D272A"/>
    <w:rsid w:val="003D3731"/>
    <w:rsid w:val="003D46E7"/>
    <w:rsid w:val="003D651B"/>
    <w:rsid w:val="003E1295"/>
    <w:rsid w:val="003E1AE4"/>
    <w:rsid w:val="003E2AA6"/>
    <w:rsid w:val="003E38B2"/>
    <w:rsid w:val="003E699F"/>
    <w:rsid w:val="003E6C95"/>
    <w:rsid w:val="003E79FD"/>
    <w:rsid w:val="003E7C1F"/>
    <w:rsid w:val="003F12D2"/>
    <w:rsid w:val="003F18F0"/>
    <w:rsid w:val="003F2D9F"/>
    <w:rsid w:val="003F365B"/>
    <w:rsid w:val="003F4001"/>
    <w:rsid w:val="003F4740"/>
    <w:rsid w:val="003F4769"/>
    <w:rsid w:val="003F5020"/>
    <w:rsid w:val="003F57A0"/>
    <w:rsid w:val="003F5DAD"/>
    <w:rsid w:val="003F5E6C"/>
    <w:rsid w:val="003F7502"/>
    <w:rsid w:val="004024F7"/>
    <w:rsid w:val="004028F8"/>
    <w:rsid w:val="0040563E"/>
    <w:rsid w:val="00405B74"/>
    <w:rsid w:val="00406660"/>
    <w:rsid w:val="00406E7D"/>
    <w:rsid w:val="00410D89"/>
    <w:rsid w:val="00410DD5"/>
    <w:rsid w:val="00411159"/>
    <w:rsid w:val="0041413F"/>
    <w:rsid w:val="00414569"/>
    <w:rsid w:val="00420C4B"/>
    <w:rsid w:val="004242E4"/>
    <w:rsid w:val="0042439C"/>
    <w:rsid w:val="004261FE"/>
    <w:rsid w:val="00427740"/>
    <w:rsid w:val="00432A3E"/>
    <w:rsid w:val="004330BF"/>
    <w:rsid w:val="00433CF2"/>
    <w:rsid w:val="0043523B"/>
    <w:rsid w:val="00437AC5"/>
    <w:rsid w:val="00440C34"/>
    <w:rsid w:val="00440E8F"/>
    <w:rsid w:val="0044147F"/>
    <w:rsid w:val="00441DE1"/>
    <w:rsid w:val="0044257A"/>
    <w:rsid w:val="00443B73"/>
    <w:rsid w:val="00444591"/>
    <w:rsid w:val="00445E80"/>
    <w:rsid w:val="00446F50"/>
    <w:rsid w:val="00447363"/>
    <w:rsid w:val="00447793"/>
    <w:rsid w:val="0045050E"/>
    <w:rsid w:val="00451C1A"/>
    <w:rsid w:val="004520D7"/>
    <w:rsid w:val="00452323"/>
    <w:rsid w:val="00454273"/>
    <w:rsid w:val="0045464C"/>
    <w:rsid w:val="0045491A"/>
    <w:rsid w:val="004578C4"/>
    <w:rsid w:val="00460DCA"/>
    <w:rsid w:val="004622F0"/>
    <w:rsid w:val="00462302"/>
    <w:rsid w:val="004638C2"/>
    <w:rsid w:val="00463B82"/>
    <w:rsid w:val="004641CB"/>
    <w:rsid w:val="0046551E"/>
    <w:rsid w:val="00465BD1"/>
    <w:rsid w:val="0046646C"/>
    <w:rsid w:val="00466740"/>
    <w:rsid w:val="00467357"/>
    <w:rsid w:val="00470C47"/>
    <w:rsid w:val="00470E9D"/>
    <w:rsid w:val="00472264"/>
    <w:rsid w:val="004728AD"/>
    <w:rsid w:val="00473728"/>
    <w:rsid w:val="00473B95"/>
    <w:rsid w:val="0047515A"/>
    <w:rsid w:val="00476010"/>
    <w:rsid w:val="00477537"/>
    <w:rsid w:val="00477583"/>
    <w:rsid w:val="00477A30"/>
    <w:rsid w:val="00477EFC"/>
    <w:rsid w:val="004802BD"/>
    <w:rsid w:val="00481D91"/>
    <w:rsid w:val="00483B2D"/>
    <w:rsid w:val="004846AF"/>
    <w:rsid w:val="00484E87"/>
    <w:rsid w:val="004858DA"/>
    <w:rsid w:val="00485EBF"/>
    <w:rsid w:val="00487274"/>
    <w:rsid w:val="0049122C"/>
    <w:rsid w:val="00491832"/>
    <w:rsid w:val="00493257"/>
    <w:rsid w:val="0049480A"/>
    <w:rsid w:val="00494CA4"/>
    <w:rsid w:val="004953F8"/>
    <w:rsid w:val="00496206"/>
    <w:rsid w:val="00496566"/>
    <w:rsid w:val="0049701F"/>
    <w:rsid w:val="004A02AD"/>
    <w:rsid w:val="004A042C"/>
    <w:rsid w:val="004A2A5B"/>
    <w:rsid w:val="004A3EC7"/>
    <w:rsid w:val="004A413E"/>
    <w:rsid w:val="004A44C0"/>
    <w:rsid w:val="004A6E01"/>
    <w:rsid w:val="004A756F"/>
    <w:rsid w:val="004A7621"/>
    <w:rsid w:val="004B0AB9"/>
    <w:rsid w:val="004B131A"/>
    <w:rsid w:val="004B217B"/>
    <w:rsid w:val="004B407E"/>
    <w:rsid w:val="004B78C8"/>
    <w:rsid w:val="004C1352"/>
    <w:rsid w:val="004C1800"/>
    <w:rsid w:val="004C375C"/>
    <w:rsid w:val="004C3EE5"/>
    <w:rsid w:val="004C4F11"/>
    <w:rsid w:val="004D0C2B"/>
    <w:rsid w:val="004D1095"/>
    <w:rsid w:val="004D1ECC"/>
    <w:rsid w:val="004D22D8"/>
    <w:rsid w:val="004D352C"/>
    <w:rsid w:val="004D5286"/>
    <w:rsid w:val="004E0D4B"/>
    <w:rsid w:val="004E225E"/>
    <w:rsid w:val="004E2764"/>
    <w:rsid w:val="004E2AA0"/>
    <w:rsid w:val="004E4188"/>
    <w:rsid w:val="004E5B4E"/>
    <w:rsid w:val="004E6A0B"/>
    <w:rsid w:val="004F0252"/>
    <w:rsid w:val="004F0FCE"/>
    <w:rsid w:val="004F108D"/>
    <w:rsid w:val="004F46E2"/>
    <w:rsid w:val="004F7F7F"/>
    <w:rsid w:val="0050065F"/>
    <w:rsid w:val="005006C9"/>
    <w:rsid w:val="00500C26"/>
    <w:rsid w:val="00502268"/>
    <w:rsid w:val="005027DC"/>
    <w:rsid w:val="00502D02"/>
    <w:rsid w:val="00504263"/>
    <w:rsid w:val="00505EB8"/>
    <w:rsid w:val="00506E41"/>
    <w:rsid w:val="005108A0"/>
    <w:rsid w:val="00511396"/>
    <w:rsid w:val="00511FBD"/>
    <w:rsid w:val="00512555"/>
    <w:rsid w:val="00512568"/>
    <w:rsid w:val="00512B39"/>
    <w:rsid w:val="00512D44"/>
    <w:rsid w:val="00514E75"/>
    <w:rsid w:val="00514F05"/>
    <w:rsid w:val="00514FEC"/>
    <w:rsid w:val="0051665B"/>
    <w:rsid w:val="00516BDF"/>
    <w:rsid w:val="00517CFA"/>
    <w:rsid w:val="00520166"/>
    <w:rsid w:val="0052085A"/>
    <w:rsid w:val="00524376"/>
    <w:rsid w:val="00525164"/>
    <w:rsid w:val="005260EA"/>
    <w:rsid w:val="00527D16"/>
    <w:rsid w:val="00527DCC"/>
    <w:rsid w:val="00530C2D"/>
    <w:rsid w:val="005322C5"/>
    <w:rsid w:val="00533706"/>
    <w:rsid w:val="00534057"/>
    <w:rsid w:val="00534DB9"/>
    <w:rsid w:val="00541EFF"/>
    <w:rsid w:val="005424DD"/>
    <w:rsid w:val="00542C07"/>
    <w:rsid w:val="00542D67"/>
    <w:rsid w:val="00550F40"/>
    <w:rsid w:val="00551B80"/>
    <w:rsid w:val="00553021"/>
    <w:rsid w:val="0055383A"/>
    <w:rsid w:val="00553ECF"/>
    <w:rsid w:val="00553F5E"/>
    <w:rsid w:val="005547BB"/>
    <w:rsid w:val="0055517C"/>
    <w:rsid w:val="00556B1D"/>
    <w:rsid w:val="00556CB7"/>
    <w:rsid w:val="00560AFF"/>
    <w:rsid w:val="005618E3"/>
    <w:rsid w:val="005621BE"/>
    <w:rsid w:val="005626B1"/>
    <w:rsid w:val="005629F3"/>
    <w:rsid w:val="005635F9"/>
    <w:rsid w:val="00564E69"/>
    <w:rsid w:val="00565432"/>
    <w:rsid w:val="00567784"/>
    <w:rsid w:val="00572340"/>
    <w:rsid w:val="005724A7"/>
    <w:rsid w:val="00573928"/>
    <w:rsid w:val="0057606D"/>
    <w:rsid w:val="005766E5"/>
    <w:rsid w:val="0058252B"/>
    <w:rsid w:val="005831A3"/>
    <w:rsid w:val="00583F33"/>
    <w:rsid w:val="00584AF4"/>
    <w:rsid w:val="00587769"/>
    <w:rsid w:val="005901D7"/>
    <w:rsid w:val="00590B69"/>
    <w:rsid w:val="00592105"/>
    <w:rsid w:val="00593A99"/>
    <w:rsid w:val="00594B92"/>
    <w:rsid w:val="00594D62"/>
    <w:rsid w:val="00596162"/>
    <w:rsid w:val="0059704A"/>
    <w:rsid w:val="0059712E"/>
    <w:rsid w:val="005A01FA"/>
    <w:rsid w:val="005A06EB"/>
    <w:rsid w:val="005A12EB"/>
    <w:rsid w:val="005A73A1"/>
    <w:rsid w:val="005A77A5"/>
    <w:rsid w:val="005B11AD"/>
    <w:rsid w:val="005B1BF7"/>
    <w:rsid w:val="005B1F31"/>
    <w:rsid w:val="005B2435"/>
    <w:rsid w:val="005B513A"/>
    <w:rsid w:val="005B581E"/>
    <w:rsid w:val="005B5F72"/>
    <w:rsid w:val="005B62CB"/>
    <w:rsid w:val="005B665A"/>
    <w:rsid w:val="005B6826"/>
    <w:rsid w:val="005B6D2E"/>
    <w:rsid w:val="005C1E9E"/>
    <w:rsid w:val="005C2372"/>
    <w:rsid w:val="005C2A2B"/>
    <w:rsid w:val="005C44ED"/>
    <w:rsid w:val="005C508A"/>
    <w:rsid w:val="005C54DA"/>
    <w:rsid w:val="005C7DBA"/>
    <w:rsid w:val="005C7F41"/>
    <w:rsid w:val="005D1129"/>
    <w:rsid w:val="005D127F"/>
    <w:rsid w:val="005D23E4"/>
    <w:rsid w:val="005D3E5A"/>
    <w:rsid w:val="005D4648"/>
    <w:rsid w:val="005D4EDD"/>
    <w:rsid w:val="005D587B"/>
    <w:rsid w:val="005D63F7"/>
    <w:rsid w:val="005D7FC0"/>
    <w:rsid w:val="005E0D09"/>
    <w:rsid w:val="005E130F"/>
    <w:rsid w:val="005E2938"/>
    <w:rsid w:val="005E2DEB"/>
    <w:rsid w:val="005E4769"/>
    <w:rsid w:val="005E58CE"/>
    <w:rsid w:val="005E7611"/>
    <w:rsid w:val="005F077D"/>
    <w:rsid w:val="005F162C"/>
    <w:rsid w:val="005F1AEC"/>
    <w:rsid w:val="005F1AF0"/>
    <w:rsid w:val="005F2BFB"/>
    <w:rsid w:val="005F5CD8"/>
    <w:rsid w:val="005F72B4"/>
    <w:rsid w:val="005F7539"/>
    <w:rsid w:val="00601BA5"/>
    <w:rsid w:val="00602D8F"/>
    <w:rsid w:val="00602FF4"/>
    <w:rsid w:val="00604A6D"/>
    <w:rsid w:val="00606036"/>
    <w:rsid w:val="006065AB"/>
    <w:rsid w:val="006067F1"/>
    <w:rsid w:val="006069AD"/>
    <w:rsid w:val="00607126"/>
    <w:rsid w:val="00610F0F"/>
    <w:rsid w:val="006111B0"/>
    <w:rsid w:val="0061146D"/>
    <w:rsid w:val="00611711"/>
    <w:rsid w:val="00611A00"/>
    <w:rsid w:val="00611E54"/>
    <w:rsid w:val="00611EA7"/>
    <w:rsid w:val="00612EE7"/>
    <w:rsid w:val="006146FE"/>
    <w:rsid w:val="00616E99"/>
    <w:rsid w:val="006175E6"/>
    <w:rsid w:val="006209CD"/>
    <w:rsid w:val="00620B07"/>
    <w:rsid w:val="00621ED2"/>
    <w:rsid w:val="006224B0"/>
    <w:rsid w:val="00623FF5"/>
    <w:rsid w:val="00624C3C"/>
    <w:rsid w:val="0062626D"/>
    <w:rsid w:val="00627093"/>
    <w:rsid w:val="006271B7"/>
    <w:rsid w:val="006317AD"/>
    <w:rsid w:val="00631BAA"/>
    <w:rsid w:val="00631C0A"/>
    <w:rsid w:val="00632081"/>
    <w:rsid w:val="0063253D"/>
    <w:rsid w:val="00633510"/>
    <w:rsid w:val="0064130D"/>
    <w:rsid w:val="00641A23"/>
    <w:rsid w:val="006422C3"/>
    <w:rsid w:val="0064259F"/>
    <w:rsid w:val="00643C04"/>
    <w:rsid w:val="00643D50"/>
    <w:rsid w:val="00643FF2"/>
    <w:rsid w:val="00647B49"/>
    <w:rsid w:val="00647C73"/>
    <w:rsid w:val="00650397"/>
    <w:rsid w:val="006507A5"/>
    <w:rsid w:val="006527D4"/>
    <w:rsid w:val="00653764"/>
    <w:rsid w:val="00653F50"/>
    <w:rsid w:val="00654BE2"/>
    <w:rsid w:val="00656591"/>
    <w:rsid w:val="00656AB7"/>
    <w:rsid w:val="00657A7B"/>
    <w:rsid w:val="006612E8"/>
    <w:rsid w:val="006628CE"/>
    <w:rsid w:val="00663B36"/>
    <w:rsid w:val="00663C4E"/>
    <w:rsid w:val="00666554"/>
    <w:rsid w:val="0066667D"/>
    <w:rsid w:val="00667924"/>
    <w:rsid w:val="0067053C"/>
    <w:rsid w:val="00671D41"/>
    <w:rsid w:val="00672180"/>
    <w:rsid w:val="00672D9F"/>
    <w:rsid w:val="00674F12"/>
    <w:rsid w:val="00677551"/>
    <w:rsid w:val="00677669"/>
    <w:rsid w:val="006828CF"/>
    <w:rsid w:val="00683269"/>
    <w:rsid w:val="00684E5F"/>
    <w:rsid w:val="00684EAD"/>
    <w:rsid w:val="00685BAB"/>
    <w:rsid w:val="00686D9F"/>
    <w:rsid w:val="006873F4"/>
    <w:rsid w:val="00693784"/>
    <w:rsid w:val="0069418C"/>
    <w:rsid w:val="006945CA"/>
    <w:rsid w:val="00694B62"/>
    <w:rsid w:val="006961B3"/>
    <w:rsid w:val="006966FA"/>
    <w:rsid w:val="00696A58"/>
    <w:rsid w:val="006A0564"/>
    <w:rsid w:val="006A12A1"/>
    <w:rsid w:val="006A1F04"/>
    <w:rsid w:val="006A2315"/>
    <w:rsid w:val="006A3AFA"/>
    <w:rsid w:val="006A443B"/>
    <w:rsid w:val="006A4669"/>
    <w:rsid w:val="006A6058"/>
    <w:rsid w:val="006A61E7"/>
    <w:rsid w:val="006B0361"/>
    <w:rsid w:val="006B567E"/>
    <w:rsid w:val="006B56DB"/>
    <w:rsid w:val="006B6F81"/>
    <w:rsid w:val="006B744F"/>
    <w:rsid w:val="006B77D7"/>
    <w:rsid w:val="006C6057"/>
    <w:rsid w:val="006C66F9"/>
    <w:rsid w:val="006C6B5D"/>
    <w:rsid w:val="006C6D1E"/>
    <w:rsid w:val="006C7A3D"/>
    <w:rsid w:val="006D3EBB"/>
    <w:rsid w:val="006D3F2C"/>
    <w:rsid w:val="006D45EC"/>
    <w:rsid w:val="006D463B"/>
    <w:rsid w:val="006D5C41"/>
    <w:rsid w:val="006E001D"/>
    <w:rsid w:val="006E0133"/>
    <w:rsid w:val="006E445F"/>
    <w:rsid w:val="006E5A6E"/>
    <w:rsid w:val="006E61E3"/>
    <w:rsid w:val="006F21E5"/>
    <w:rsid w:val="006F266E"/>
    <w:rsid w:val="006F4B30"/>
    <w:rsid w:val="006F6EEE"/>
    <w:rsid w:val="006F7790"/>
    <w:rsid w:val="00701D60"/>
    <w:rsid w:val="007020B2"/>
    <w:rsid w:val="00702667"/>
    <w:rsid w:val="00702C97"/>
    <w:rsid w:val="00702F15"/>
    <w:rsid w:val="00703446"/>
    <w:rsid w:val="007041E6"/>
    <w:rsid w:val="00705707"/>
    <w:rsid w:val="007071C0"/>
    <w:rsid w:val="00710E68"/>
    <w:rsid w:val="007140C7"/>
    <w:rsid w:val="00714676"/>
    <w:rsid w:val="00715403"/>
    <w:rsid w:val="00720D0A"/>
    <w:rsid w:val="00720D6B"/>
    <w:rsid w:val="00721284"/>
    <w:rsid w:val="0072524E"/>
    <w:rsid w:val="00726C91"/>
    <w:rsid w:val="007274F1"/>
    <w:rsid w:val="00727AFF"/>
    <w:rsid w:val="0073017F"/>
    <w:rsid w:val="00732325"/>
    <w:rsid w:val="00732A87"/>
    <w:rsid w:val="007340FF"/>
    <w:rsid w:val="00734926"/>
    <w:rsid w:val="0073532B"/>
    <w:rsid w:val="0073572A"/>
    <w:rsid w:val="007360AB"/>
    <w:rsid w:val="00736827"/>
    <w:rsid w:val="007409C3"/>
    <w:rsid w:val="00740E1F"/>
    <w:rsid w:val="007412B3"/>
    <w:rsid w:val="0074289D"/>
    <w:rsid w:val="00742F31"/>
    <w:rsid w:val="00744B40"/>
    <w:rsid w:val="007456F1"/>
    <w:rsid w:val="00747130"/>
    <w:rsid w:val="00747695"/>
    <w:rsid w:val="0074774C"/>
    <w:rsid w:val="007502E6"/>
    <w:rsid w:val="00751018"/>
    <w:rsid w:val="0075241A"/>
    <w:rsid w:val="00753492"/>
    <w:rsid w:val="00753F23"/>
    <w:rsid w:val="0075409D"/>
    <w:rsid w:val="00754706"/>
    <w:rsid w:val="0075608D"/>
    <w:rsid w:val="00757079"/>
    <w:rsid w:val="0075745D"/>
    <w:rsid w:val="00760F2B"/>
    <w:rsid w:val="00762BB1"/>
    <w:rsid w:val="00762EE0"/>
    <w:rsid w:val="0076369B"/>
    <w:rsid w:val="00764BD9"/>
    <w:rsid w:val="00765027"/>
    <w:rsid w:val="00765749"/>
    <w:rsid w:val="00766C4E"/>
    <w:rsid w:val="00766F68"/>
    <w:rsid w:val="00767DA9"/>
    <w:rsid w:val="00770C73"/>
    <w:rsid w:val="007724B9"/>
    <w:rsid w:val="0077284E"/>
    <w:rsid w:val="00773E9E"/>
    <w:rsid w:val="00774CF2"/>
    <w:rsid w:val="00776048"/>
    <w:rsid w:val="0077704A"/>
    <w:rsid w:val="00782496"/>
    <w:rsid w:val="007848E7"/>
    <w:rsid w:val="0078578A"/>
    <w:rsid w:val="00786383"/>
    <w:rsid w:val="00786987"/>
    <w:rsid w:val="007878C9"/>
    <w:rsid w:val="00791E48"/>
    <w:rsid w:val="00792016"/>
    <w:rsid w:val="00794B7E"/>
    <w:rsid w:val="00795046"/>
    <w:rsid w:val="00796ADB"/>
    <w:rsid w:val="00797627"/>
    <w:rsid w:val="007A01A1"/>
    <w:rsid w:val="007A028A"/>
    <w:rsid w:val="007A08CC"/>
    <w:rsid w:val="007A206F"/>
    <w:rsid w:val="007A2355"/>
    <w:rsid w:val="007A2E64"/>
    <w:rsid w:val="007A2EFA"/>
    <w:rsid w:val="007A323A"/>
    <w:rsid w:val="007A399C"/>
    <w:rsid w:val="007A39CC"/>
    <w:rsid w:val="007A3F4F"/>
    <w:rsid w:val="007A46B6"/>
    <w:rsid w:val="007A65BF"/>
    <w:rsid w:val="007A671A"/>
    <w:rsid w:val="007A7276"/>
    <w:rsid w:val="007A775D"/>
    <w:rsid w:val="007A7774"/>
    <w:rsid w:val="007B5477"/>
    <w:rsid w:val="007B54FD"/>
    <w:rsid w:val="007B5713"/>
    <w:rsid w:val="007B5FC3"/>
    <w:rsid w:val="007B65DB"/>
    <w:rsid w:val="007C1C36"/>
    <w:rsid w:val="007C3E09"/>
    <w:rsid w:val="007C49A6"/>
    <w:rsid w:val="007C4B24"/>
    <w:rsid w:val="007C51CF"/>
    <w:rsid w:val="007C53CF"/>
    <w:rsid w:val="007C6DA4"/>
    <w:rsid w:val="007C70E9"/>
    <w:rsid w:val="007D01ED"/>
    <w:rsid w:val="007D0AF6"/>
    <w:rsid w:val="007D159A"/>
    <w:rsid w:val="007D3010"/>
    <w:rsid w:val="007D5235"/>
    <w:rsid w:val="007D60E5"/>
    <w:rsid w:val="007D6D48"/>
    <w:rsid w:val="007E08C2"/>
    <w:rsid w:val="007E09FC"/>
    <w:rsid w:val="007E182C"/>
    <w:rsid w:val="007E1E5A"/>
    <w:rsid w:val="007E20D5"/>
    <w:rsid w:val="007E3BF7"/>
    <w:rsid w:val="007E3C5B"/>
    <w:rsid w:val="007E6767"/>
    <w:rsid w:val="007E7AA9"/>
    <w:rsid w:val="007F02A9"/>
    <w:rsid w:val="007F0755"/>
    <w:rsid w:val="007F1480"/>
    <w:rsid w:val="007F1E2B"/>
    <w:rsid w:val="007F3C33"/>
    <w:rsid w:val="007F62E1"/>
    <w:rsid w:val="007F6B3C"/>
    <w:rsid w:val="007F72A9"/>
    <w:rsid w:val="007F74D4"/>
    <w:rsid w:val="00800DF9"/>
    <w:rsid w:val="008010BB"/>
    <w:rsid w:val="00801868"/>
    <w:rsid w:val="008034B6"/>
    <w:rsid w:val="0080458E"/>
    <w:rsid w:val="00805120"/>
    <w:rsid w:val="0080576C"/>
    <w:rsid w:val="0080599C"/>
    <w:rsid w:val="008060EC"/>
    <w:rsid w:val="00806959"/>
    <w:rsid w:val="00807167"/>
    <w:rsid w:val="0080757D"/>
    <w:rsid w:val="0080785C"/>
    <w:rsid w:val="00807CBC"/>
    <w:rsid w:val="00807F5C"/>
    <w:rsid w:val="0081319A"/>
    <w:rsid w:val="008132ED"/>
    <w:rsid w:val="00813471"/>
    <w:rsid w:val="008135C2"/>
    <w:rsid w:val="008162BB"/>
    <w:rsid w:val="0081691B"/>
    <w:rsid w:val="00817145"/>
    <w:rsid w:val="00817639"/>
    <w:rsid w:val="00820221"/>
    <w:rsid w:val="008219C5"/>
    <w:rsid w:val="00821B94"/>
    <w:rsid w:val="00821FD6"/>
    <w:rsid w:val="00822AAD"/>
    <w:rsid w:val="00823091"/>
    <w:rsid w:val="008302AA"/>
    <w:rsid w:val="00830CB8"/>
    <w:rsid w:val="00831D02"/>
    <w:rsid w:val="00834C62"/>
    <w:rsid w:val="0083519F"/>
    <w:rsid w:val="008363E5"/>
    <w:rsid w:val="00836DB1"/>
    <w:rsid w:val="00840381"/>
    <w:rsid w:val="0084187D"/>
    <w:rsid w:val="00841D4A"/>
    <w:rsid w:val="0084285B"/>
    <w:rsid w:val="00842BCA"/>
    <w:rsid w:val="00844223"/>
    <w:rsid w:val="0084619F"/>
    <w:rsid w:val="008463DD"/>
    <w:rsid w:val="00846FBE"/>
    <w:rsid w:val="00850B93"/>
    <w:rsid w:val="00850F5E"/>
    <w:rsid w:val="008514FC"/>
    <w:rsid w:val="008520AE"/>
    <w:rsid w:val="008526B7"/>
    <w:rsid w:val="00852A46"/>
    <w:rsid w:val="00856FAD"/>
    <w:rsid w:val="00857CEF"/>
    <w:rsid w:val="008603FD"/>
    <w:rsid w:val="00861C8F"/>
    <w:rsid w:val="008629DF"/>
    <w:rsid w:val="008644A9"/>
    <w:rsid w:val="00865188"/>
    <w:rsid w:val="0086522A"/>
    <w:rsid w:val="008652A3"/>
    <w:rsid w:val="008660FC"/>
    <w:rsid w:val="008666FA"/>
    <w:rsid w:val="00866C4F"/>
    <w:rsid w:val="00867C26"/>
    <w:rsid w:val="00867CED"/>
    <w:rsid w:val="00867FD1"/>
    <w:rsid w:val="008703A1"/>
    <w:rsid w:val="00870E9F"/>
    <w:rsid w:val="008714EC"/>
    <w:rsid w:val="008714ED"/>
    <w:rsid w:val="00872996"/>
    <w:rsid w:val="00872EDA"/>
    <w:rsid w:val="008737DE"/>
    <w:rsid w:val="00874287"/>
    <w:rsid w:val="00874FEC"/>
    <w:rsid w:val="00876CA3"/>
    <w:rsid w:val="008777A3"/>
    <w:rsid w:val="008801BD"/>
    <w:rsid w:val="00880C9C"/>
    <w:rsid w:val="00880DC4"/>
    <w:rsid w:val="00881956"/>
    <w:rsid w:val="00883514"/>
    <w:rsid w:val="00884106"/>
    <w:rsid w:val="008859B1"/>
    <w:rsid w:val="00886471"/>
    <w:rsid w:val="0088647C"/>
    <w:rsid w:val="0088651A"/>
    <w:rsid w:val="00886564"/>
    <w:rsid w:val="008865F7"/>
    <w:rsid w:val="00886676"/>
    <w:rsid w:val="00887757"/>
    <w:rsid w:val="00887CCA"/>
    <w:rsid w:val="00890EB5"/>
    <w:rsid w:val="00891E94"/>
    <w:rsid w:val="00892390"/>
    <w:rsid w:val="00893A66"/>
    <w:rsid w:val="008942AD"/>
    <w:rsid w:val="008969AD"/>
    <w:rsid w:val="00896D09"/>
    <w:rsid w:val="00897BAB"/>
    <w:rsid w:val="00897D64"/>
    <w:rsid w:val="008A1964"/>
    <w:rsid w:val="008A2B28"/>
    <w:rsid w:val="008A3BDF"/>
    <w:rsid w:val="008A41EC"/>
    <w:rsid w:val="008A4C28"/>
    <w:rsid w:val="008A512F"/>
    <w:rsid w:val="008A56B6"/>
    <w:rsid w:val="008A5799"/>
    <w:rsid w:val="008A6CDA"/>
    <w:rsid w:val="008A779D"/>
    <w:rsid w:val="008B1143"/>
    <w:rsid w:val="008B29EC"/>
    <w:rsid w:val="008B388C"/>
    <w:rsid w:val="008B4B95"/>
    <w:rsid w:val="008B6A14"/>
    <w:rsid w:val="008B7293"/>
    <w:rsid w:val="008C0E7A"/>
    <w:rsid w:val="008C1153"/>
    <w:rsid w:val="008C1B83"/>
    <w:rsid w:val="008C2381"/>
    <w:rsid w:val="008C2724"/>
    <w:rsid w:val="008C327F"/>
    <w:rsid w:val="008C35AF"/>
    <w:rsid w:val="008C49BD"/>
    <w:rsid w:val="008C5617"/>
    <w:rsid w:val="008C5E19"/>
    <w:rsid w:val="008C6DDA"/>
    <w:rsid w:val="008C714D"/>
    <w:rsid w:val="008C7217"/>
    <w:rsid w:val="008C7852"/>
    <w:rsid w:val="008D077D"/>
    <w:rsid w:val="008D4910"/>
    <w:rsid w:val="008D54D9"/>
    <w:rsid w:val="008D575A"/>
    <w:rsid w:val="008D7754"/>
    <w:rsid w:val="008E1555"/>
    <w:rsid w:val="008E1B99"/>
    <w:rsid w:val="008E2099"/>
    <w:rsid w:val="008E3C44"/>
    <w:rsid w:val="008E496E"/>
    <w:rsid w:val="008E531E"/>
    <w:rsid w:val="008E6B23"/>
    <w:rsid w:val="008E6E82"/>
    <w:rsid w:val="008E77B1"/>
    <w:rsid w:val="008E7F80"/>
    <w:rsid w:val="008E7FA0"/>
    <w:rsid w:val="008F495C"/>
    <w:rsid w:val="008F4FBA"/>
    <w:rsid w:val="008F5C1D"/>
    <w:rsid w:val="0090039E"/>
    <w:rsid w:val="00900699"/>
    <w:rsid w:val="0090190D"/>
    <w:rsid w:val="009032AB"/>
    <w:rsid w:val="00903E19"/>
    <w:rsid w:val="009057CB"/>
    <w:rsid w:val="00906AF5"/>
    <w:rsid w:val="00910AD7"/>
    <w:rsid w:val="00911BA5"/>
    <w:rsid w:val="0091213A"/>
    <w:rsid w:val="009128A4"/>
    <w:rsid w:val="00912E57"/>
    <w:rsid w:val="00913809"/>
    <w:rsid w:val="00914112"/>
    <w:rsid w:val="009141DD"/>
    <w:rsid w:val="00915969"/>
    <w:rsid w:val="00915DF0"/>
    <w:rsid w:val="00916888"/>
    <w:rsid w:val="00916DC1"/>
    <w:rsid w:val="00920C23"/>
    <w:rsid w:val="00920DD7"/>
    <w:rsid w:val="00921AF2"/>
    <w:rsid w:val="00923A68"/>
    <w:rsid w:val="00924026"/>
    <w:rsid w:val="00925ADF"/>
    <w:rsid w:val="00926846"/>
    <w:rsid w:val="00930475"/>
    <w:rsid w:val="0093140E"/>
    <w:rsid w:val="00932A27"/>
    <w:rsid w:val="00933483"/>
    <w:rsid w:val="009343ED"/>
    <w:rsid w:val="00934D63"/>
    <w:rsid w:val="00935275"/>
    <w:rsid w:val="00935348"/>
    <w:rsid w:val="00936953"/>
    <w:rsid w:val="0094107A"/>
    <w:rsid w:val="00941FF4"/>
    <w:rsid w:val="00943015"/>
    <w:rsid w:val="00944C26"/>
    <w:rsid w:val="00946388"/>
    <w:rsid w:val="00947F10"/>
    <w:rsid w:val="0095126B"/>
    <w:rsid w:val="009517CC"/>
    <w:rsid w:val="00951F15"/>
    <w:rsid w:val="00952087"/>
    <w:rsid w:val="009526A7"/>
    <w:rsid w:val="00952722"/>
    <w:rsid w:val="009527C0"/>
    <w:rsid w:val="00953B1F"/>
    <w:rsid w:val="009550C2"/>
    <w:rsid w:val="00955963"/>
    <w:rsid w:val="00955DA8"/>
    <w:rsid w:val="00962AE2"/>
    <w:rsid w:val="009644B2"/>
    <w:rsid w:val="00965586"/>
    <w:rsid w:val="00966BF0"/>
    <w:rsid w:val="0097041B"/>
    <w:rsid w:val="00970868"/>
    <w:rsid w:val="009715EF"/>
    <w:rsid w:val="0097214E"/>
    <w:rsid w:val="00972ED2"/>
    <w:rsid w:val="00972F42"/>
    <w:rsid w:val="00973F30"/>
    <w:rsid w:val="009750CA"/>
    <w:rsid w:val="00975E16"/>
    <w:rsid w:val="00976C39"/>
    <w:rsid w:val="00977A44"/>
    <w:rsid w:val="00980E5D"/>
    <w:rsid w:val="009816EA"/>
    <w:rsid w:val="00982629"/>
    <w:rsid w:val="009830BA"/>
    <w:rsid w:val="009861CF"/>
    <w:rsid w:val="0098637D"/>
    <w:rsid w:val="0098656D"/>
    <w:rsid w:val="0099119A"/>
    <w:rsid w:val="009913C7"/>
    <w:rsid w:val="00992275"/>
    <w:rsid w:val="00992EF2"/>
    <w:rsid w:val="00993828"/>
    <w:rsid w:val="00996079"/>
    <w:rsid w:val="009969FA"/>
    <w:rsid w:val="0099748A"/>
    <w:rsid w:val="009A1D9B"/>
    <w:rsid w:val="009A2138"/>
    <w:rsid w:val="009A2820"/>
    <w:rsid w:val="009A4ADD"/>
    <w:rsid w:val="009A4B6A"/>
    <w:rsid w:val="009A4F6C"/>
    <w:rsid w:val="009A5A35"/>
    <w:rsid w:val="009A6231"/>
    <w:rsid w:val="009A6777"/>
    <w:rsid w:val="009A6F90"/>
    <w:rsid w:val="009A7BA5"/>
    <w:rsid w:val="009B3715"/>
    <w:rsid w:val="009B45B7"/>
    <w:rsid w:val="009B470E"/>
    <w:rsid w:val="009B49C7"/>
    <w:rsid w:val="009B516C"/>
    <w:rsid w:val="009B5C1F"/>
    <w:rsid w:val="009B6DB3"/>
    <w:rsid w:val="009B6EBE"/>
    <w:rsid w:val="009B79F0"/>
    <w:rsid w:val="009C043B"/>
    <w:rsid w:val="009C1066"/>
    <w:rsid w:val="009C1521"/>
    <w:rsid w:val="009C1ED0"/>
    <w:rsid w:val="009C286C"/>
    <w:rsid w:val="009C39A1"/>
    <w:rsid w:val="009C3BE8"/>
    <w:rsid w:val="009C4C0F"/>
    <w:rsid w:val="009C7C4B"/>
    <w:rsid w:val="009D23E2"/>
    <w:rsid w:val="009D25A9"/>
    <w:rsid w:val="009D2A75"/>
    <w:rsid w:val="009D2DCA"/>
    <w:rsid w:val="009D395C"/>
    <w:rsid w:val="009D3CE2"/>
    <w:rsid w:val="009D4363"/>
    <w:rsid w:val="009D4E26"/>
    <w:rsid w:val="009D647B"/>
    <w:rsid w:val="009D72FE"/>
    <w:rsid w:val="009E0110"/>
    <w:rsid w:val="009E11EA"/>
    <w:rsid w:val="009E505D"/>
    <w:rsid w:val="009F05BA"/>
    <w:rsid w:val="009F0751"/>
    <w:rsid w:val="009F0BEB"/>
    <w:rsid w:val="009F1186"/>
    <w:rsid w:val="009F19AF"/>
    <w:rsid w:val="009F4ABA"/>
    <w:rsid w:val="009F6098"/>
    <w:rsid w:val="009F6279"/>
    <w:rsid w:val="009F7329"/>
    <w:rsid w:val="009F7C5F"/>
    <w:rsid w:val="009F7FA0"/>
    <w:rsid w:val="00A00B11"/>
    <w:rsid w:val="00A05577"/>
    <w:rsid w:val="00A056BE"/>
    <w:rsid w:val="00A06CFE"/>
    <w:rsid w:val="00A06EF0"/>
    <w:rsid w:val="00A07E08"/>
    <w:rsid w:val="00A108CF"/>
    <w:rsid w:val="00A10C66"/>
    <w:rsid w:val="00A12B0D"/>
    <w:rsid w:val="00A140F0"/>
    <w:rsid w:val="00A1467B"/>
    <w:rsid w:val="00A1498B"/>
    <w:rsid w:val="00A14B26"/>
    <w:rsid w:val="00A153A7"/>
    <w:rsid w:val="00A1674A"/>
    <w:rsid w:val="00A22EE7"/>
    <w:rsid w:val="00A236AD"/>
    <w:rsid w:val="00A23E01"/>
    <w:rsid w:val="00A254A1"/>
    <w:rsid w:val="00A25902"/>
    <w:rsid w:val="00A261A7"/>
    <w:rsid w:val="00A26A23"/>
    <w:rsid w:val="00A30252"/>
    <w:rsid w:val="00A32135"/>
    <w:rsid w:val="00A32167"/>
    <w:rsid w:val="00A32C84"/>
    <w:rsid w:val="00A34370"/>
    <w:rsid w:val="00A35D7D"/>
    <w:rsid w:val="00A36849"/>
    <w:rsid w:val="00A421CE"/>
    <w:rsid w:val="00A42DF4"/>
    <w:rsid w:val="00A43203"/>
    <w:rsid w:val="00A446F3"/>
    <w:rsid w:val="00A447F3"/>
    <w:rsid w:val="00A451F1"/>
    <w:rsid w:val="00A46C2D"/>
    <w:rsid w:val="00A47F35"/>
    <w:rsid w:val="00A51C0F"/>
    <w:rsid w:val="00A5488A"/>
    <w:rsid w:val="00A5528B"/>
    <w:rsid w:val="00A555E6"/>
    <w:rsid w:val="00A56019"/>
    <w:rsid w:val="00A60A6C"/>
    <w:rsid w:val="00A60B28"/>
    <w:rsid w:val="00A63BBE"/>
    <w:rsid w:val="00A6477B"/>
    <w:rsid w:val="00A650E9"/>
    <w:rsid w:val="00A65C2E"/>
    <w:rsid w:val="00A66836"/>
    <w:rsid w:val="00A675DF"/>
    <w:rsid w:val="00A67F26"/>
    <w:rsid w:val="00A7046F"/>
    <w:rsid w:val="00A71DC6"/>
    <w:rsid w:val="00A72395"/>
    <w:rsid w:val="00A73D61"/>
    <w:rsid w:val="00A753F5"/>
    <w:rsid w:val="00A77EA3"/>
    <w:rsid w:val="00A805B9"/>
    <w:rsid w:val="00A82B41"/>
    <w:rsid w:val="00A8309F"/>
    <w:rsid w:val="00A85031"/>
    <w:rsid w:val="00A85070"/>
    <w:rsid w:val="00A86D6F"/>
    <w:rsid w:val="00A87F21"/>
    <w:rsid w:val="00A90B8A"/>
    <w:rsid w:val="00A9349D"/>
    <w:rsid w:val="00A946C9"/>
    <w:rsid w:val="00A95AE5"/>
    <w:rsid w:val="00A960F2"/>
    <w:rsid w:val="00A967DE"/>
    <w:rsid w:val="00A96D29"/>
    <w:rsid w:val="00A9779A"/>
    <w:rsid w:val="00AA3336"/>
    <w:rsid w:val="00AA515A"/>
    <w:rsid w:val="00AA5CF0"/>
    <w:rsid w:val="00AA6173"/>
    <w:rsid w:val="00AA7EFB"/>
    <w:rsid w:val="00AB21F3"/>
    <w:rsid w:val="00AB242F"/>
    <w:rsid w:val="00AB2DBB"/>
    <w:rsid w:val="00AB3088"/>
    <w:rsid w:val="00AB33F6"/>
    <w:rsid w:val="00AB362A"/>
    <w:rsid w:val="00AB5556"/>
    <w:rsid w:val="00AB69E8"/>
    <w:rsid w:val="00AB7642"/>
    <w:rsid w:val="00AC0E98"/>
    <w:rsid w:val="00AC1C9D"/>
    <w:rsid w:val="00AC2116"/>
    <w:rsid w:val="00AC2286"/>
    <w:rsid w:val="00AC3569"/>
    <w:rsid w:val="00AC360F"/>
    <w:rsid w:val="00AC519B"/>
    <w:rsid w:val="00AC570B"/>
    <w:rsid w:val="00AC62FA"/>
    <w:rsid w:val="00AD1177"/>
    <w:rsid w:val="00AD23E9"/>
    <w:rsid w:val="00AD2E4C"/>
    <w:rsid w:val="00AD2E79"/>
    <w:rsid w:val="00AD34B1"/>
    <w:rsid w:val="00AD3AA5"/>
    <w:rsid w:val="00AD4477"/>
    <w:rsid w:val="00AD548E"/>
    <w:rsid w:val="00AD6C83"/>
    <w:rsid w:val="00AD7C79"/>
    <w:rsid w:val="00AE0DB1"/>
    <w:rsid w:val="00AE0FEE"/>
    <w:rsid w:val="00AE3144"/>
    <w:rsid w:val="00AE3731"/>
    <w:rsid w:val="00AE387A"/>
    <w:rsid w:val="00AE46BF"/>
    <w:rsid w:val="00AE4EC2"/>
    <w:rsid w:val="00AE7634"/>
    <w:rsid w:val="00AE7894"/>
    <w:rsid w:val="00AF01D9"/>
    <w:rsid w:val="00AF1091"/>
    <w:rsid w:val="00AF165C"/>
    <w:rsid w:val="00AF1712"/>
    <w:rsid w:val="00AF338E"/>
    <w:rsid w:val="00AF3E2E"/>
    <w:rsid w:val="00AF47F1"/>
    <w:rsid w:val="00AF4AA5"/>
    <w:rsid w:val="00AF6796"/>
    <w:rsid w:val="00AF6E14"/>
    <w:rsid w:val="00B00FFF"/>
    <w:rsid w:val="00B012B0"/>
    <w:rsid w:val="00B0179E"/>
    <w:rsid w:val="00B017D2"/>
    <w:rsid w:val="00B03248"/>
    <w:rsid w:val="00B033DF"/>
    <w:rsid w:val="00B04014"/>
    <w:rsid w:val="00B04C20"/>
    <w:rsid w:val="00B04CB7"/>
    <w:rsid w:val="00B05658"/>
    <w:rsid w:val="00B05A7F"/>
    <w:rsid w:val="00B0685E"/>
    <w:rsid w:val="00B069E4"/>
    <w:rsid w:val="00B073EE"/>
    <w:rsid w:val="00B074D6"/>
    <w:rsid w:val="00B07B5E"/>
    <w:rsid w:val="00B07EBF"/>
    <w:rsid w:val="00B1009B"/>
    <w:rsid w:val="00B12FF8"/>
    <w:rsid w:val="00B13105"/>
    <w:rsid w:val="00B1342C"/>
    <w:rsid w:val="00B14DE6"/>
    <w:rsid w:val="00B15708"/>
    <w:rsid w:val="00B15BE7"/>
    <w:rsid w:val="00B160D7"/>
    <w:rsid w:val="00B16431"/>
    <w:rsid w:val="00B16B0F"/>
    <w:rsid w:val="00B16F09"/>
    <w:rsid w:val="00B205E1"/>
    <w:rsid w:val="00B22155"/>
    <w:rsid w:val="00B226EC"/>
    <w:rsid w:val="00B22D81"/>
    <w:rsid w:val="00B23447"/>
    <w:rsid w:val="00B24415"/>
    <w:rsid w:val="00B25258"/>
    <w:rsid w:val="00B27D47"/>
    <w:rsid w:val="00B305AE"/>
    <w:rsid w:val="00B32868"/>
    <w:rsid w:val="00B32884"/>
    <w:rsid w:val="00B32997"/>
    <w:rsid w:val="00B32CE0"/>
    <w:rsid w:val="00B3350A"/>
    <w:rsid w:val="00B3398F"/>
    <w:rsid w:val="00B353CF"/>
    <w:rsid w:val="00B4020F"/>
    <w:rsid w:val="00B41A7A"/>
    <w:rsid w:val="00B4384B"/>
    <w:rsid w:val="00B43F30"/>
    <w:rsid w:val="00B4518E"/>
    <w:rsid w:val="00B45C39"/>
    <w:rsid w:val="00B4635A"/>
    <w:rsid w:val="00B516F2"/>
    <w:rsid w:val="00B521E8"/>
    <w:rsid w:val="00B52DC9"/>
    <w:rsid w:val="00B5569A"/>
    <w:rsid w:val="00B56ED8"/>
    <w:rsid w:val="00B60593"/>
    <w:rsid w:val="00B60A75"/>
    <w:rsid w:val="00B6247D"/>
    <w:rsid w:val="00B6279A"/>
    <w:rsid w:val="00B63E82"/>
    <w:rsid w:val="00B64316"/>
    <w:rsid w:val="00B65038"/>
    <w:rsid w:val="00B6633E"/>
    <w:rsid w:val="00B663AD"/>
    <w:rsid w:val="00B677E6"/>
    <w:rsid w:val="00B70C8E"/>
    <w:rsid w:val="00B70D5A"/>
    <w:rsid w:val="00B71B56"/>
    <w:rsid w:val="00B71D29"/>
    <w:rsid w:val="00B7246B"/>
    <w:rsid w:val="00B729E6"/>
    <w:rsid w:val="00B73401"/>
    <w:rsid w:val="00B74016"/>
    <w:rsid w:val="00B74D07"/>
    <w:rsid w:val="00B75D86"/>
    <w:rsid w:val="00B75F04"/>
    <w:rsid w:val="00B768A2"/>
    <w:rsid w:val="00B811CA"/>
    <w:rsid w:val="00B81FE2"/>
    <w:rsid w:val="00B825FC"/>
    <w:rsid w:val="00B831AE"/>
    <w:rsid w:val="00B838BE"/>
    <w:rsid w:val="00B8628D"/>
    <w:rsid w:val="00B8784A"/>
    <w:rsid w:val="00B92327"/>
    <w:rsid w:val="00B92369"/>
    <w:rsid w:val="00B93A0A"/>
    <w:rsid w:val="00B93E6E"/>
    <w:rsid w:val="00B943B2"/>
    <w:rsid w:val="00B95B70"/>
    <w:rsid w:val="00B95F6B"/>
    <w:rsid w:val="00BA050D"/>
    <w:rsid w:val="00BA1004"/>
    <w:rsid w:val="00BA1F6C"/>
    <w:rsid w:val="00BA26D4"/>
    <w:rsid w:val="00BA2826"/>
    <w:rsid w:val="00BA2C09"/>
    <w:rsid w:val="00BA611F"/>
    <w:rsid w:val="00BA7D4F"/>
    <w:rsid w:val="00BB0F09"/>
    <w:rsid w:val="00BB162A"/>
    <w:rsid w:val="00BB45DB"/>
    <w:rsid w:val="00BB48F0"/>
    <w:rsid w:val="00BB4CC2"/>
    <w:rsid w:val="00BB4D4B"/>
    <w:rsid w:val="00BB4E80"/>
    <w:rsid w:val="00BB5B14"/>
    <w:rsid w:val="00BB6462"/>
    <w:rsid w:val="00BC2546"/>
    <w:rsid w:val="00BC3685"/>
    <w:rsid w:val="00BC3A5B"/>
    <w:rsid w:val="00BC4DC8"/>
    <w:rsid w:val="00BC5E19"/>
    <w:rsid w:val="00BC6666"/>
    <w:rsid w:val="00BC6B43"/>
    <w:rsid w:val="00BD22E0"/>
    <w:rsid w:val="00BD2599"/>
    <w:rsid w:val="00BD2AF3"/>
    <w:rsid w:val="00BD2C20"/>
    <w:rsid w:val="00BD3D4B"/>
    <w:rsid w:val="00BD4181"/>
    <w:rsid w:val="00BD47A1"/>
    <w:rsid w:val="00BD63FE"/>
    <w:rsid w:val="00BD6727"/>
    <w:rsid w:val="00BD67AB"/>
    <w:rsid w:val="00BD716A"/>
    <w:rsid w:val="00BD7D2D"/>
    <w:rsid w:val="00BE0008"/>
    <w:rsid w:val="00BE025D"/>
    <w:rsid w:val="00BE3246"/>
    <w:rsid w:val="00BE3A27"/>
    <w:rsid w:val="00BE44BB"/>
    <w:rsid w:val="00BE6257"/>
    <w:rsid w:val="00BE725E"/>
    <w:rsid w:val="00BF155C"/>
    <w:rsid w:val="00BF2FE7"/>
    <w:rsid w:val="00BF5470"/>
    <w:rsid w:val="00BF6082"/>
    <w:rsid w:val="00BF6655"/>
    <w:rsid w:val="00BF72B7"/>
    <w:rsid w:val="00BF75D4"/>
    <w:rsid w:val="00BF7AB2"/>
    <w:rsid w:val="00C00486"/>
    <w:rsid w:val="00C01311"/>
    <w:rsid w:val="00C0215D"/>
    <w:rsid w:val="00C03FF9"/>
    <w:rsid w:val="00C05F49"/>
    <w:rsid w:val="00C05FBA"/>
    <w:rsid w:val="00C10389"/>
    <w:rsid w:val="00C10A59"/>
    <w:rsid w:val="00C10AC5"/>
    <w:rsid w:val="00C10BB7"/>
    <w:rsid w:val="00C11937"/>
    <w:rsid w:val="00C13BC1"/>
    <w:rsid w:val="00C14D29"/>
    <w:rsid w:val="00C15AAB"/>
    <w:rsid w:val="00C16B43"/>
    <w:rsid w:val="00C16E7B"/>
    <w:rsid w:val="00C177E5"/>
    <w:rsid w:val="00C2092E"/>
    <w:rsid w:val="00C221BF"/>
    <w:rsid w:val="00C22726"/>
    <w:rsid w:val="00C22B80"/>
    <w:rsid w:val="00C23FB1"/>
    <w:rsid w:val="00C25BB2"/>
    <w:rsid w:val="00C26250"/>
    <w:rsid w:val="00C26F85"/>
    <w:rsid w:val="00C271B5"/>
    <w:rsid w:val="00C27DD6"/>
    <w:rsid w:val="00C304B9"/>
    <w:rsid w:val="00C3107C"/>
    <w:rsid w:val="00C32469"/>
    <w:rsid w:val="00C33721"/>
    <w:rsid w:val="00C338D6"/>
    <w:rsid w:val="00C3523A"/>
    <w:rsid w:val="00C36A69"/>
    <w:rsid w:val="00C370BD"/>
    <w:rsid w:val="00C4039B"/>
    <w:rsid w:val="00C405F9"/>
    <w:rsid w:val="00C40638"/>
    <w:rsid w:val="00C4340D"/>
    <w:rsid w:val="00C446E5"/>
    <w:rsid w:val="00C44CDF"/>
    <w:rsid w:val="00C45004"/>
    <w:rsid w:val="00C46EF8"/>
    <w:rsid w:val="00C477E5"/>
    <w:rsid w:val="00C5057A"/>
    <w:rsid w:val="00C5135D"/>
    <w:rsid w:val="00C52173"/>
    <w:rsid w:val="00C52530"/>
    <w:rsid w:val="00C52BC8"/>
    <w:rsid w:val="00C577F5"/>
    <w:rsid w:val="00C5792A"/>
    <w:rsid w:val="00C57B9D"/>
    <w:rsid w:val="00C57FE0"/>
    <w:rsid w:val="00C609C7"/>
    <w:rsid w:val="00C60DEF"/>
    <w:rsid w:val="00C61D02"/>
    <w:rsid w:val="00C62E33"/>
    <w:rsid w:val="00C63CA5"/>
    <w:rsid w:val="00C66291"/>
    <w:rsid w:val="00C66D85"/>
    <w:rsid w:val="00C6769C"/>
    <w:rsid w:val="00C70FC7"/>
    <w:rsid w:val="00C72F8A"/>
    <w:rsid w:val="00C74718"/>
    <w:rsid w:val="00C754E7"/>
    <w:rsid w:val="00C7550F"/>
    <w:rsid w:val="00C8050E"/>
    <w:rsid w:val="00C8063F"/>
    <w:rsid w:val="00C82B99"/>
    <w:rsid w:val="00C83E1C"/>
    <w:rsid w:val="00C85E49"/>
    <w:rsid w:val="00C86268"/>
    <w:rsid w:val="00C8729A"/>
    <w:rsid w:val="00C87342"/>
    <w:rsid w:val="00C90FD9"/>
    <w:rsid w:val="00C9168B"/>
    <w:rsid w:val="00C923ED"/>
    <w:rsid w:val="00C92AC8"/>
    <w:rsid w:val="00C9313A"/>
    <w:rsid w:val="00C93419"/>
    <w:rsid w:val="00C93C3A"/>
    <w:rsid w:val="00C93DFA"/>
    <w:rsid w:val="00C9495B"/>
    <w:rsid w:val="00C95307"/>
    <w:rsid w:val="00C95477"/>
    <w:rsid w:val="00C95DBC"/>
    <w:rsid w:val="00C95FE1"/>
    <w:rsid w:val="00C97933"/>
    <w:rsid w:val="00C97942"/>
    <w:rsid w:val="00CA053A"/>
    <w:rsid w:val="00CA2653"/>
    <w:rsid w:val="00CA3C4D"/>
    <w:rsid w:val="00CA496B"/>
    <w:rsid w:val="00CA5B7A"/>
    <w:rsid w:val="00CA6AE3"/>
    <w:rsid w:val="00CB01DE"/>
    <w:rsid w:val="00CB216C"/>
    <w:rsid w:val="00CB237A"/>
    <w:rsid w:val="00CB3674"/>
    <w:rsid w:val="00CB3FD6"/>
    <w:rsid w:val="00CB553D"/>
    <w:rsid w:val="00CB5C5B"/>
    <w:rsid w:val="00CB6C90"/>
    <w:rsid w:val="00CC25D9"/>
    <w:rsid w:val="00CC29D8"/>
    <w:rsid w:val="00CC3DD0"/>
    <w:rsid w:val="00CC4416"/>
    <w:rsid w:val="00CC48D1"/>
    <w:rsid w:val="00CC4D18"/>
    <w:rsid w:val="00CC5AD5"/>
    <w:rsid w:val="00CC5C19"/>
    <w:rsid w:val="00CC6B0C"/>
    <w:rsid w:val="00CC7949"/>
    <w:rsid w:val="00CD00E2"/>
    <w:rsid w:val="00CD3424"/>
    <w:rsid w:val="00CD4788"/>
    <w:rsid w:val="00CD5772"/>
    <w:rsid w:val="00CD60A8"/>
    <w:rsid w:val="00CD6E98"/>
    <w:rsid w:val="00CE086E"/>
    <w:rsid w:val="00CE1426"/>
    <w:rsid w:val="00CE1A2A"/>
    <w:rsid w:val="00CE27CB"/>
    <w:rsid w:val="00CE29B9"/>
    <w:rsid w:val="00CE3A58"/>
    <w:rsid w:val="00CE3F30"/>
    <w:rsid w:val="00CE5457"/>
    <w:rsid w:val="00CE61B6"/>
    <w:rsid w:val="00CE73D6"/>
    <w:rsid w:val="00CE7733"/>
    <w:rsid w:val="00CF1315"/>
    <w:rsid w:val="00CF1A37"/>
    <w:rsid w:val="00CF2629"/>
    <w:rsid w:val="00CF2666"/>
    <w:rsid w:val="00CF304E"/>
    <w:rsid w:val="00CF4A9A"/>
    <w:rsid w:val="00CF5479"/>
    <w:rsid w:val="00CF5CFB"/>
    <w:rsid w:val="00CF5FD7"/>
    <w:rsid w:val="00D00940"/>
    <w:rsid w:val="00D00FA8"/>
    <w:rsid w:val="00D03397"/>
    <w:rsid w:val="00D034CA"/>
    <w:rsid w:val="00D03FEA"/>
    <w:rsid w:val="00D0420B"/>
    <w:rsid w:val="00D045A2"/>
    <w:rsid w:val="00D07A1A"/>
    <w:rsid w:val="00D114AF"/>
    <w:rsid w:val="00D132BA"/>
    <w:rsid w:val="00D13C11"/>
    <w:rsid w:val="00D14A7F"/>
    <w:rsid w:val="00D14B59"/>
    <w:rsid w:val="00D14DF9"/>
    <w:rsid w:val="00D153EE"/>
    <w:rsid w:val="00D15563"/>
    <w:rsid w:val="00D16658"/>
    <w:rsid w:val="00D1751D"/>
    <w:rsid w:val="00D17753"/>
    <w:rsid w:val="00D178EB"/>
    <w:rsid w:val="00D22C39"/>
    <w:rsid w:val="00D239E5"/>
    <w:rsid w:val="00D24313"/>
    <w:rsid w:val="00D24CFA"/>
    <w:rsid w:val="00D26549"/>
    <w:rsid w:val="00D26DF0"/>
    <w:rsid w:val="00D27390"/>
    <w:rsid w:val="00D2741B"/>
    <w:rsid w:val="00D27CF7"/>
    <w:rsid w:val="00D3647F"/>
    <w:rsid w:val="00D368AC"/>
    <w:rsid w:val="00D36CD1"/>
    <w:rsid w:val="00D401BB"/>
    <w:rsid w:val="00D41171"/>
    <w:rsid w:val="00D4152C"/>
    <w:rsid w:val="00D4187E"/>
    <w:rsid w:val="00D41BDF"/>
    <w:rsid w:val="00D43CED"/>
    <w:rsid w:val="00D44123"/>
    <w:rsid w:val="00D46D24"/>
    <w:rsid w:val="00D47359"/>
    <w:rsid w:val="00D4795B"/>
    <w:rsid w:val="00D479FF"/>
    <w:rsid w:val="00D47E9A"/>
    <w:rsid w:val="00D516B5"/>
    <w:rsid w:val="00D520C8"/>
    <w:rsid w:val="00D536AD"/>
    <w:rsid w:val="00D5623E"/>
    <w:rsid w:val="00D56391"/>
    <w:rsid w:val="00D56518"/>
    <w:rsid w:val="00D57110"/>
    <w:rsid w:val="00D57F19"/>
    <w:rsid w:val="00D60A1D"/>
    <w:rsid w:val="00D62502"/>
    <w:rsid w:val="00D62F2C"/>
    <w:rsid w:val="00D64F52"/>
    <w:rsid w:val="00D66310"/>
    <w:rsid w:val="00D6641A"/>
    <w:rsid w:val="00D668D0"/>
    <w:rsid w:val="00D66ECC"/>
    <w:rsid w:val="00D66F1F"/>
    <w:rsid w:val="00D67036"/>
    <w:rsid w:val="00D700C7"/>
    <w:rsid w:val="00D70F3C"/>
    <w:rsid w:val="00D714D6"/>
    <w:rsid w:val="00D71796"/>
    <w:rsid w:val="00D71EE2"/>
    <w:rsid w:val="00D731D7"/>
    <w:rsid w:val="00D73C05"/>
    <w:rsid w:val="00D73D79"/>
    <w:rsid w:val="00D757BB"/>
    <w:rsid w:val="00D76CAE"/>
    <w:rsid w:val="00D77768"/>
    <w:rsid w:val="00D81918"/>
    <w:rsid w:val="00D819F5"/>
    <w:rsid w:val="00D843AF"/>
    <w:rsid w:val="00D84A2F"/>
    <w:rsid w:val="00D85511"/>
    <w:rsid w:val="00D87E66"/>
    <w:rsid w:val="00D9041A"/>
    <w:rsid w:val="00D90536"/>
    <w:rsid w:val="00D91090"/>
    <w:rsid w:val="00D97995"/>
    <w:rsid w:val="00DA05C0"/>
    <w:rsid w:val="00DA094F"/>
    <w:rsid w:val="00DA0D88"/>
    <w:rsid w:val="00DA24E3"/>
    <w:rsid w:val="00DA2B33"/>
    <w:rsid w:val="00DA3CE7"/>
    <w:rsid w:val="00DA44BB"/>
    <w:rsid w:val="00DA46AA"/>
    <w:rsid w:val="00DA4F82"/>
    <w:rsid w:val="00DA5CD2"/>
    <w:rsid w:val="00DA69B3"/>
    <w:rsid w:val="00DA6E3F"/>
    <w:rsid w:val="00DA760D"/>
    <w:rsid w:val="00DB056E"/>
    <w:rsid w:val="00DB26BD"/>
    <w:rsid w:val="00DB3181"/>
    <w:rsid w:val="00DB4211"/>
    <w:rsid w:val="00DB4303"/>
    <w:rsid w:val="00DB4FBF"/>
    <w:rsid w:val="00DB51CC"/>
    <w:rsid w:val="00DB59F4"/>
    <w:rsid w:val="00DB5B9D"/>
    <w:rsid w:val="00DC0078"/>
    <w:rsid w:val="00DC04E5"/>
    <w:rsid w:val="00DC1566"/>
    <w:rsid w:val="00DC2498"/>
    <w:rsid w:val="00DC2E2F"/>
    <w:rsid w:val="00DC31EA"/>
    <w:rsid w:val="00DC3C10"/>
    <w:rsid w:val="00DC43FF"/>
    <w:rsid w:val="00DC6562"/>
    <w:rsid w:val="00DC6927"/>
    <w:rsid w:val="00DD0413"/>
    <w:rsid w:val="00DD0CFB"/>
    <w:rsid w:val="00DD1CE4"/>
    <w:rsid w:val="00DD234C"/>
    <w:rsid w:val="00DD2B1F"/>
    <w:rsid w:val="00DD35AC"/>
    <w:rsid w:val="00DD5778"/>
    <w:rsid w:val="00DD591F"/>
    <w:rsid w:val="00DD5E07"/>
    <w:rsid w:val="00DE0482"/>
    <w:rsid w:val="00DE0BA0"/>
    <w:rsid w:val="00DE0BE8"/>
    <w:rsid w:val="00DE10F9"/>
    <w:rsid w:val="00DE180F"/>
    <w:rsid w:val="00DE3739"/>
    <w:rsid w:val="00DE40DF"/>
    <w:rsid w:val="00DE59C8"/>
    <w:rsid w:val="00DE5BCE"/>
    <w:rsid w:val="00DE5D35"/>
    <w:rsid w:val="00DE6264"/>
    <w:rsid w:val="00DE6A77"/>
    <w:rsid w:val="00DE6E25"/>
    <w:rsid w:val="00DE7503"/>
    <w:rsid w:val="00DE793A"/>
    <w:rsid w:val="00DE7A0D"/>
    <w:rsid w:val="00DE7D31"/>
    <w:rsid w:val="00DF1657"/>
    <w:rsid w:val="00DF4B82"/>
    <w:rsid w:val="00DF677A"/>
    <w:rsid w:val="00DF6A70"/>
    <w:rsid w:val="00DF763F"/>
    <w:rsid w:val="00E0001B"/>
    <w:rsid w:val="00E00EDA"/>
    <w:rsid w:val="00E016CF"/>
    <w:rsid w:val="00E0185F"/>
    <w:rsid w:val="00E026E7"/>
    <w:rsid w:val="00E028E8"/>
    <w:rsid w:val="00E04EA6"/>
    <w:rsid w:val="00E04F95"/>
    <w:rsid w:val="00E0536E"/>
    <w:rsid w:val="00E05ABC"/>
    <w:rsid w:val="00E06ECF"/>
    <w:rsid w:val="00E071DD"/>
    <w:rsid w:val="00E07FDA"/>
    <w:rsid w:val="00E111EE"/>
    <w:rsid w:val="00E11554"/>
    <w:rsid w:val="00E1172D"/>
    <w:rsid w:val="00E12A1B"/>
    <w:rsid w:val="00E1483D"/>
    <w:rsid w:val="00E155D4"/>
    <w:rsid w:val="00E1649D"/>
    <w:rsid w:val="00E16722"/>
    <w:rsid w:val="00E178C8"/>
    <w:rsid w:val="00E24F24"/>
    <w:rsid w:val="00E30379"/>
    <w:rsid w:val="00E303E1"/>
    <w:rsid w:val="00E315EF"/>
    <w:rsid w:val="00E31862"/>
    <w:rsid w:val="00E319B5"/>
    <w:rsid w:val="00E31AA3"/>
    <w:rsid w:val="00E32797"/>
    <w:rsid w:val="00E32825"/>
    <w:rsid w:val="00E3330A"/>
    <w:rsid w:val="00E3355B"/>
    <w:rsid w:val="00E335B9"/>
    <w:rsid w:val="00E3360B"/>
    <w:rsid w:val="00E34B30"/>
    <w:rsid w:val="00E34FD4"/>
    <w:rsid w:val="00E36411"/>
    <w:rsid w:val="00E37084"/>
    <w:rsid w:val="00E40271"/>
    <w:rsid w:val="00E41D42"/>
    <w:rsid w:val="00E41DF3"/>
    <w:rsid w:val="00E4266C"/>
    <w:rsid w:val="00E42E68"/>
    <w:rsid w:val="00E439CD"/>
    <w:rsid w:val="00E44FF1"/>
    <w:rsid w:val="00E50D48"/>
    <w:rsid w:val="00E51CA6"/>
    <w:rsid w:val="00E521A6"/>
    <w:rsid w:val="00E54747"/>
    <w:rsid w:val="00E55D10"/>
    <w:rsid w:val="00E56536"/>
    <w:rsid w:val="00E5729B"/>
    <w:rsid w:val="00E5745E"/>
    <w:rsid w:val="00E57AE2"/>
    <w:rsid w:val="00E615DE"/>
    <w:rsid w:val="00E6164D"/>
    <w:rsid w:val="00E61780"/>
    <w:rsid w:val="00E618CE"/>
    <w:rsid w:val="00E61A9F"/>
    <w:rsid w:val="00E6218B"/>
    <w:rsid w:val="00E62883"/>
    <w:rsid w:val="00E62C48"/>
    <w:rsid w:val="00E66052"/>
    <w:rsid w:val="00E7195D"/>
    <w:rsid w:val="00E71BC2"/>
    <w:rsid w:val="00E7254A"/>
    <w:rsid w:val="00E7270D"/>
    <w:rsid w:val="00E72854"/>
    <w:rsid w:val="00E73515"/>
    <w:rsid w:val="00E73E24"/>
    <w:rsid w:val="00E74E41"/>
    <w:rsid w:val="00E76C62"/>
    <w:rsid w:val="00E7759E"/>
    <w:rsid w:val="00E80033"/>
    <w:rsid w:val="00E802CD"/>
    <w:rsid w:val="00E8114F"/>
    <w:rsid w:val="00E83C07"/>
    <w:rsid w:val="00E8543E"/>
    <w:rsid w:val="00E85C04"/>
    <w:rsid w:val="00E86C38"/>
    <w:rsid w:val="00E870DE"/>
    <w:rsid w:val="00E871CA"/>
    <w:rsid w:val="00E87455"/>
    <w:rsid w:val="00E915A6"/>
    <w:rsid w:val="00E9175E"/>
    <w:rsid w:val="00E94C24"/>
    <w:rsid w:val="00E96141"/>
    <w:rsid w:val="00E96DDE"/>
    <w:rsid w:val="00E97DB3"/>
    <w:rsid w:val="00EA025A"/>
    <w:rsid w:val="00EA0279"/>
    <w:rsid w:val="00EA1C45"/>
    <w:rsid w:val="00EA4321"/>
    <w:rsid w:val="00EA4E34"/>
    <w:rsid w:val="00EA5649"/>
    <w:rsid w:val="00EA56F5"/>
    <w:rsid w:val="00EA5D10"/>
    <w:rsid w:val="00EA5EC6"/>
    <w:rsid w:val="00EA6E88"/>
    <w:rsid w:val="00EA75D0"/>
    <w:rsid w:val="00EA7F84"/>
    <w:rsid w:val="00EB0557"/>
    <w:rsid w:val="00EB180A"/>
    <w:rsid w:val="00EB25FF"/>
    <w:rsid w:val="00EB4045"/>
    <w:rsid w:val="00EB4C56"/>
    <w:rsid w:val="00EB6C70"/>
    <w:rsid w:val="00EB6E08"/>
    <w:rsid w:val="00EB6E79"/>
    <w:rsid w:val="00EB7749"/>
    <w:rsid w:val="00EB7DA6"/>
    <w:rsid w:val="00EC10C0"/>
    <w:rsid w:val="00EC1676"/>
    <w:rsid w:val="00EC2875"/>
    <w:rsid w:val="00EC38F8"/>
    <w:rsid w:val="00EC4F7F"/>
    <w:rsid w:val="00EC52FF"/>
    <w:rsid w:val="00EC67BD"/>
    <w:rsid w:val="00EC6E90"/>
    <w:rsid w:val="00EC7D3A"/>
    <w:rsid w:val="00ED030E"/>
    <w:rsid w:val="00ED0F54"/>
    <w:rsid w:val="00ED1227"/>
    <w:rsid w:val="00ED19D5"/>
    <w:rsid w:val="00ED1C92"/>
    <w:rsid w:val="00ED204D"/>
    <w:rsid w:val="00ED2A4C"/>
    <w:rsid w:val="00ED424A"/>
    <w:rsid w:val="00ED713B"/>
    <w:rsid w:val="00ED73D0"/>
    <w:rsid w:val="00ED74B6"/>
    <w:rsid w:val="00EE1A30"/>
    <w:rsid w:val="00EE1FB6"/>
    <w:rsid w:val="00EE31E3"/>
    <w:rsid w:val="00EE433E"/>
    <w:rsid w:val="00EE5E57"/>
    <w:rsid w:val="00EE6782"/>
    <w:rsid w:val="00EE6C6A"/>
    <w:rsid w:val="00EE76F2"/>
    <w:rsid w:val="00EE7A50"/>
    <w:rsid w:val="00EF05EC"/>
    <w:rsid w:val="00EF071D"/>
    <w:rsid w:val="00EF180D"/>
    <w:rsid w:val="00EF1D07"/>
    <w:rsid w:val="00EF27E8"/>
    <w:rsid w:val="00EF3FF3"/>
    <w:rsid w:val="00EF409C"/>
    <w:rsid w:val="00EF5667"/>
    <w:rsid w:val="00EF6116"/>
    <w:rsid w:val="00EF6A94"/>
    <w:rsid w:val="00EF6F8F"/>
    <w:rsid w:val="00EF7EEE"/>
    <w:rsid w:val="00F00374"/>
    <w:rsid w:val="00F0190D"/>
    <w:rsid w:val="00F01BA0"/>
    <w:rsid w:val="00F028C8"/>
    <w:rsid w:val="00F02F20"/>
    <w:rsid w:val="00F04C98"/>
    <w:rsid w:val="00F07B4D"/>
    <w:rsid w:val="00F11A13"/>
    <w:rsid w:val="00F1276F"/>
    <w:rsid w:val="00F13B76"/>
    <w:rsid w:val="00F13F5D"/>
    <w:rsid w:val="00F14B1B"/>
    <w:rsid w:val="00F16CB8"/>
    <w:rsid w:val="00F1740A"/>
    <w:rsid w:val="00F17DD3"/>
    <w:rsid w:val="00F211CC"/>
    <w:rsid w:val="00F21D4D"/>
    <w:rsid w:val="00F223A0"/>
    <w:rsid w:val="00F22A7E"/>
    <w:rsid w:val="00F22D6C"/>
    <w:rsid w:val="00F247F5"/>
    <w:rsid w:val="00F24A0B"/>
    <w:rsid w:val="00F256A4"/>
    <w:rsid w:val="00F2729C"/>
    <w:rsid w:val="00F32759"/>
    <w:rsid w:val="00F346AD"/>
    <w:rsid w:val="00F354BE"/>
    <w:rsid w:val="00F35663"/>
    <w:rsid w:val="00F3668C"/>
    <w:rsid w:val="00F37B53"/>
    <w:rsid w:val="00F403B3"/>
    <w:rsid w:val="00F413CC"/>
    <w:rsid w:val="00F41EEB"/>
    <w:rsid w:val="00F42179"/>
    <w:rsid w:val="00F4246F"/>
    <w:rsid w:val="00F42F44"/>
    <w:rsid w:val="00F43D5A"/>
    <w:rsid w:val="00F45750"/>
    <w:rsid w:val="00F47BFA"/>
    <w:rsid w:val="00F50505"/>
    <w:rsid w:val="00F522B9"/>
    <w:rsid w:val="00F53342"/>
    <w:rsid w:val="00F53864"/>
    <w:rsid w:val="00F539F8"/>
    <w:rsid w:val="00F53DB3"/>
    <w:rsid w:val="00F54E7A"/>
    <w:rsid w:val="00F55371"/>
    <w:rsid w:val="00F560FC"/>
    <w:rsid w:val="00F56A09"/>
    <w:rsid w:val="00F57390"/>
    <w:rsid w:val="00F57441"/>
    <w:rsid w:val="00F606DE"/>
    <w:rsid w:val="00F60726"/>
    <w:rsid w:val="00F61091"/>
    <w:rsid w:val="00F62426"/>
    <w:rsid w:val="00F635EF"/>
    <w:rsid w:val="00F6412F"/>
    <w:rsid w:val="00F642DA"/>
    <w:rsid w:val="00F65606"/>
    <w:rsid w:val="00F657ED"/>
    <w:rsid w:val="00F675C4"/>
    <w:rsid w:val="00F71C2D"/>
    <w:rsid w:val="00F74344"/>
    <w:rsid w:val="00F74B49"/>
    <w:rsid w:val="00F77588"/>
    <w:rsid w:val="00F77C48"/>
    <w:rsid w:val="00F80779"/>
    <w:rsid w:val="00F83164"/>
    <w:rsid w:val="00F83674"/>
    <w:rsid w:val="00F85723"/>
    <w:rsid w:val="00F86732"/>
    <w:rsid w:val="00F8779A"/>
    <w:rsid w:val="00F90CD6"/>
    <w:rsid w:val="00F9133A"/>
    <w:rsid w:val="00F9191C"/>
    <w:rsid w:val="00F934CD"/>
    <w:rsid w:val="00F93B9E"/>
    <w:rsid w:val="00F93CC7"/>
    <w:rsid w:val="00F94379"/>
    <w:rsid w:val="00F952EF"/>
    <w:rsid w:val="00F958CF"/>
    <w:rsid w:val="00F95E22"/>
    <w:rsid w:val="00F97168"/>
    <w:rsid w:val="00F97D8A"/>
    <w:rsid w:val="00FA05B6"/>
    <w:rsid w:val="00FA160E"/>
    <w:rsid w:val="00FA2022"/>
    <w:rsid w:val="00FA2030"/>
    <w:rsid w:val="00FA2901"/>
    <w:rsid w:val="00FA4006"/>
    <w:rsid w:val="00FA4B65"/>
    <w:rsid w:val="00FA4ECF"/>
    <w:rsid w:val="00FA6EC4"/>
    <w:rsid w:val="00FB05BB"/>
    <w:rsid w:val="00FB0BF9"/>
    <w:rsid w:val="00FB44A6"/>
    <w:rsid w:val="00FB6092"/>
    <w:rsid w:val="00FB6DD7"/>
    <w:rsid w:val="00FB7B2E"/>
    <w:rsid w:val="00FC0D51"/>
    <w:rsid w:val="00FC12C4"/>
    <w:rsid w:val="00FC33F8"/>
    <w:rsid w:val="00FC4BAF"/>
    <w:rsid w:val="00FC5380"/>
    <w:rsid w:val="00FC6305"/>
    <w:rsid w:val="00FC7195"/>
    <w:rsid w:val="00FC7C9A"/>
    <w:rsid w:val="00FD0295"/>
    <w:rsid w:val="00FD0C3B"/>
    <w:rsid w:val="00FD168A"/>
    <w:rsid w:val="00FD307A"/>
    <w:rsid w:val="00FD3CC8"/>
    <w:rsid w:val="00FD4302"/>
    <w:rsid w:val="00FD4EB6"/>
    <w:rsid w:val="00FD5663"/>
    <w:rsid w:val="00FE07EC"/>
    <w:rsid w:val="00FE1031"/>
    <w:rsid w:val="00FE11C3"/>
    <w:rsid w:val="00FE3784"/>
    <w:rsid w:val="00FE4D86"/>
    <w:rsid w:val="00FE566D"/>
    <w:rsid w:val="00FE671E"/>
    <w:rsid w:val="00FE6F3D"/>
    <w:rsid w:val="00FE6F42"/>
    <w:rsid w:val="00FE7474"/>
    <w:rsid w:val="00FF0A33"/>
    <w:rsid w:val="00FF0D5E"/>
    <w:rsid w:val="00FF217F"/>
    <w:rsid w:val="00FF275D"/>
    <w:rsid w:val="00FF2AB8"/>
    <w:rsid w:val="00FF3A2E"/>
    <w:rsid w:val="00FF5644"/>
    <w:rsid w:val="00FF655F"/>
    <w:rsid w:val="00FF6992"/>
    <w:rsid w:val="00FF6A74"/>
    <w:rsid w:val="00FF7955"/>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1BCE7"/>
  <w15:chartTrackingRefBased/>
  <w15:docId w15:val="{5911DA6E-3DEC-4E68-80C5-F4672D9E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4C0"/>
    <w:pPr>
      <w:spacing w:before="40" w:after="40"/>
      <w:ind w:firstLine="1080"/>
      <w:jc w:val="both"/>
    </w:pPr>
    <w:rPr>
      <w:rFonts w:ascii="Times New Roman" w:hAnsi="Times New Roman"/>
      <w:sz w:val="28"/>
      <w:szCs w:val="22"/>
      <w:lang w:eastAsia="zh-TW"/>
    </w:rPr>
  </w:style>
  <w:style w:type="paragraph" w:styleId="Heading1">
    <w:name w:val="heading 1"/>
    <w:basedOn w:val="Normal"/>
    <w:next w:val="Normal"/>
    <w:link w:val="Heading1Char"/>
    <w:uiPriority w:val="1"/>
    <w:qFormat/>
    <w:rsid w:val="008A6CDA"/>
    <w:pPr>
      <w:keepNext/>
      <w:keepLines/>
      <w:spacing w:before="480" w:after="0"/>
      <w:outlineLvl w:val="0"/>
    </w:pPr>
    <w:rPr>
      <w:rFonts w:ascii="Cambria" w:eastAsia="SimSun" w:hAnsi="Cambria"/>
      <w:b/>
      <w:bCs/>
      <w:color w:val="365F91"/>
      <w:szCs w:val="28"/>
      <w:lang w:val="x-none" w:eastAsia="x-none"/>
    </w:rPr>
  </w:style>
  <w:style w:type="paragraph" w:styleId="Heading2">
    <w:name w:val="heading 2"/>
    <w:basedOn w:val="Normal"/>
    <w:next w:val="Normal"/>
    <w:link w:val="Heading2Char"/>
    <w:uiPriority w:val="1"/>
    <w:qFormat/>
    <w:rsid w:val="00E3360B"/>
    <w:pPr>
      <w:keepNext/>
      <w:spacing w:before="240" w:after="60"/>
      <w:outlineLvl w:val="1"/>
    </w:pPr>
    <w:rPr>
      <w:rFonts w:ascii="Calibri" w:eastAsia="MS Gothic" w:hAnsi="Calibri"/>
      <w:b/>
      <w:bCs/>
      <w:i/>
      <w:iCs/>
      <w:szCs w:val="28"/>
      <w:lang w:val="x-none"/>
    </w:rPr>
  </w:style>
  <w:style w:type="paragraph" w:styleId="Heading3">
    <w:name w:val="heading 3"/>
    <w:basedOn w:val="Normal"/>
    <w:next w:val="Normal"/>
    <w:link w:val="Heading3Char"/>
    <w:uiPriority w:val="1"/>
    <w:qFormat/>
    <w:rsid w:val="008A6CDA"/>
    <w:pPr>
      <w:keepNext/>
      <w:keepLines/>
      <w:spacing w:before="200" w:after="0"/>
      <w:outlineLvl w:val="2"/>
    </w:pPr>
    <w:rPr>
      <w:rFonts w:ascii="Cambria" w:eastAsia="Times New Roman" w:hAnsi="Cambria"/>
      <w:b/>
      <w:bCs/>
      <w:color w:val="4F81BD"/>
      <w:sz w:val="20"/>
      <w:szCs w:val="20"/>
      <w:lang w:val="x-none" w:eastAsia="ru-RU"/>
    </w:rPr>
  </w:style>
  <w:style w:type="paragraph" w:styleId="Heading4">
    <w:name w:val="heading 4"/>
    <w:basedOn w:val="Normal"/>
    <w:next w:val="Normal"/>
    <w:link w:val="Heading4Char"/>
    <w:uiPriority w:val="9"/>
    <w:qFormat/>
    <w:rsid w:val="005C508A"/>
    <w:pPr>
      <w:keepNext/>
      <w:keepLines/>
      <w:spacing w:before="200" w:after="0"/>
      <w:outlineLvl w:val="3"/>
    </w:pPr>
    <w:rPr>
      <w:rFonts w:ascii="Cambria" w:eastAsia="MS Gothic" w:hAnsi="Cambria"/>
      <w:b/>
      <w:bCs/>
      <w:i/>
      <w:iCs/>
      <w:color w:val="4F81BD"/>
      <w:lang w:val="x-none" w:eastAsia="x-none"/>
    </w:rPr>
  </w:style>
  <w:style w:type="paragraph" w:styleId="Heading5">
    <w:name w:val="heading 5"/>
    <w:basedOn w:val="Normal"/>
    <w:next w:val="Normal"/>
    <w:link w:val="Heading5Char"/>
    <w:uiPriority w:val="9"/>
    <w:qFormat/>
    <w:rsid w:val="005C508A"/>
    <w:pPr>
      <w:keepNext/>
      <w:keepLines/>
      <w:spacing w:before="200" w:after="0"/>
      <w:outlineLvl w:val="4"/>
    </w:pPr>
    <w:rPr>
      <w:rFonts w:ascii="Cambria" w:eastAsia="MS Gothic" w:hAnsi="Cambria"/>
      <w:color w:val="243F60"/>
      <w:lang w:val="x-none" w:eastAsia="x-none"/>
    </w:rPr>
  </w:style>
  <w:style w:type="paragraph" w:styleId="Heading7">
    <w:name w:val="heading 7"/>
    <w:basedOn w:val="Normal"/>
    <w:next w:val="Normal"/>
    <w:link w:val="Heading7Char"/>
    <w:uiPriority w:val="9"/>
    <w:qFormat/>
    <w:rsid w:val="00BA2C09"/>
    <w:pPr>
      <w:spacing w:before="240" w:after="60"/>
      <w:outlineLvl w:val="6"/>
    </w:pPr>
    <w:rPr>
      <w:rFonts w:ascii="Calibri" w:eastAsia="Times New Roman" w:hAnsi="Calibri"/>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CDA"/>
    <w:pPr>
      <w:tabs>
        <w:tab w:val="center" w:pos="4680"/>
        <w:tab w:val="right" w:pos="9360"/>
      </w:tabs>
      <w:spacing w:after="0"/>
    </w:pPr>
  </w:style>
  <w:style w:type="character" w:customStyle="1" w:styleId="HeaderChar">
    <w:name w:val="Header Char"/>
    <w:basedOn w:val="DefaultParagraphFont"/>
    <w:link w:val="Header"/>
    <w:uiPriority w:val="99"/>
    <w:rsid w:val="008A6CDA"/>
  </w:style>
  <w:style w:type="paragraph" w:styleId="Footer">
    <w:name w:val="footer"/>
    <w:basedOn w:val="Normal"/>
    <w:link w:val="FooterChar"/>
    <w:uiPriority w:val="99"/>
    <w:unhideWhenUsed/>
    <w:rsid w:val="008A6CDA"/>
    <w:pPr>
      <w:tabs>
        <w:tab w:val="center" w:pos="4680"/>
        <w:tab w:val="right" w:pos="9360"/>
      </w:tabs>
      <w:spacing w:after="0"/>
    </w:pPr>
  </w:style>
  <w:style w:type="character" w:customStyle="1" w:styleId="FooterChar">
    <w:name w:val="Footer Char"/>
    <w:basedOn w:val="DefaultParagraphFont"/>
    <w:link w:val="Footer"/>
    <w:uiPriority w:val="99"/>
    <w:rsid w:val="008A6CDA"/>
  </w:style>
  <w:style w:type="paragraph" w:customStyle="1" w:styleId="ColorfulList-Accent11">
    <w:name w:val="Colorful List - Accent 11"/>
    <w:basedOn w:val="Normal"/>
    <w:link w:val="ColorfulList-Accent1Char"/>
    <w:uiPriority w:val="34"/>
    <w:qFormat/>
    <w:rsid w:val="008A6CDA"/>
    <w:pPr>
      <w:spacing w:after="0"/>
      <w:ind w:left="720"/>
      <w:contextualSpacing/>
    </w:pPr>
    <w:rPr>
      <w:rFonts w:eastAsia="Times New Roman"/>
      <w:sz w:val="24"/>
      <w:szCs w:val="24"/>
      <w:lang w:val="ru-RU" w:eastAsia="ru-RU"/>
    </w:rPr>
  </w:style>
  <w:style w:type="paragraph" w:customStyle="1" w:styleId="ndtltk">
    <w:name w:val="ndtltk"/>
    <w:basedOn w:val="Normal"/>
    <w:link w:val="ndtltkChar"/>
    <w:qFormat/>
    <w:rsid w:val="008A6CDA"/>
    <w:pPr>
      <w:numPr>
        <w:numId w:val="1"/>
      </w:numPr>
      <w:tabs>
        <w:tab w:val="left" w:pos="851"/>
      </w:tabs>
      <w:spacing w:after="0" w:line="264" w:lineRule="auto"/>
    </w:pPr>
    <w:rPr>
      <w:rFonts w:eastAsia="Times New Roman"/>
      <w:color w:val="000000"/>
      <w:sz w:val="22"/>
      <w:shd w:val="clear" w:color="auto" w:fill="FFFFFF"/>
      <w:lang w:val="ru-RU" w:eastAsia="ru-RU"/>
    </w:rPr>
  </w:style>
  <w:style w:type="character" w:customStyle="1" w:styleId="ndtltkChar">
    <w:name w:val="ndtltk Char"/>
    <w:link w:val="ndtltk"/>
    <w:rsid w:val="008A6CDA"/>
    <w:rPr>
      <w:rFonts w:ascii="Times New Roman" w:eastAsia="Times New Roman" w:hAnsi="Times New Roman"/>
      <w:color w:val="000000"/>
      <w:sz w:val="22"/>
      <w:szCs w:val="22"/>
      <w:lang w:val="ru-RU" w:eastAsia="ru-RU"/>
    </w:rPr>
  </w:style>
  <w:style w:type="paragraph" w:customStyle="1" w:styleId="Tiu">
    <w:name w:val="Tiêu đề"/>
    <w:basedOn w:val="Heading1"/>
    <w:link w:val="TiuChar"/>
    <w:qFormat/>
    <w:rsid w:val="008A6CDA"/>
    <w:pPr>
      <w:keepLines w:val="0"/>
      <w:spacing w:before="0" w:after="120"/>
      <w:jc w:val="center"/>
    </w:pPr>
    <w:rPr>
      <w:rFonts w:ascii="Times New Roman" w:eastAsia="Times New Roman" w:hAnsi="Times New Roman"/>
      <w:color w:val="000000"/>
      <w:sz w:val="26"/>
      <w:szCs w:val="26"/>
      <w:shd w:val="clear" w:color="auto" w:fill="FFFFFF"/>
      <w:lang w:val="kk-KZ" w:eastAsia="ru-RU"/>
    </w:rPr>
  </w:style>
  <w:style w:type="character" w:customStyle="1" w:styleId="TiuChar">
    <w:name w:val="Tiêu đề Char"/>
    <w:link w:val="Tiu"/>
    <w:rsid w:val="008A6CDA"/>
    <w:rPr>
      <w:rFonts w:ascii="Times New Roman" w:eastAsia="Times New Roman" w:hAnsi="Times New Roman" w:cs="Times New Roman"/>
      <w:b/>
      <w:bCs/>
      <w:color w:val="000000"/>
      <w:sz w:val="26"/>
      <w:szCs w:val="26"/>
      <w:lang w:val="kk-KZ" w:eastAsia="ru-RU"/>
    </w:rPr>
  </w:style>
  <w:style w:type="paragraph" w:customStyle="1" w:styleId="section">
    <w:name w:val="section"/>
    <w:basedOn w:val="Normal"/>
    <w:link w:val="sectionChar"/>
    <w:qFormat/>
    <w:rsid w:val="00382F67"/>
    <w:pPr>
      <w:spacing w:before="240" w:after="120"/>
      <w:ind w:firstLine="0"/>
    </w:pPr>
    <w:rPr>
      <w:rFonts w:eastAsia="Times New Roman"/>
      <w:b/>
      <w:bCs/>
      <w:color w:val="000000"/>
      <w:szCs w:val="26"/>
      <w:lang w:val="en-AU" w:eastAsia="ru-RU"/>
    </w:rPr>
  </w:style>
  <w:style w:type="character" w:customStyle="1" w:styleId="sectionChar">
    <w:name w:val="section Char"/>
    <w:link w:val="section"/>
    <w:rsid w:val="00382F67"/>
    <w:rPr>
      <w:rFonts w:ascii="Times New Roman" w:eastAsia="Times New Roman" w:hAnsi="Times New Roman"/>
      <w:b/>
      <w:bCs/>
      <w:color w:val="000000"/>
      <w:sz w:val="28"/>
      <w:szCs w:val="26"/>
      <w:lang w:val="en-AU" w:eastAsia="ru-RU"/>
    </w:rPr>
  </w:style>
  <w:style w:type="paragraph" w:customStyle="1" w:styleId="subsection">
    <w:name w:val="subsection"/>
    <w:basedOn w:val="Normal"/>
    <w:link w:val="subsectionChar"/>
    <w:qFormat/>
    <w:rsid w:val="007C4B24"/>
    <w:pPr>
      <w:spacing w:before="120"/>
      <w:ind w:firstLine="0"/>
    </w:pPr>
    <w:rPr>
      <w:rFonts w:eastAsia="Times New Roman"/>
      <w:b/>
      <w:color w:val="000000"/>
      <w:sz w:val="24"/>
      <w:szCs w:val="24"/>
      <w:shd w:val="clear" w:color="auto" w:fill="FFFFFF"/>
      <w:lang w:val="ru-RU" w:eastAsia="ru-RU"/>
    </w:rPr>
  </w:style>
  <w:style w:type="character" w:customStyle="1" w:styleId="subsectionChar">
    <w:name w:val="subsection Char"/>
    <w:link w:val="subsection"/>
    <w:rsid w:val="007C4B24"/>
    <w:rPr>
      <w:rFonts w:ascii="Times New Roman" w:eastAsia="Times New Roman" w:hAnsi="Times New Roman"/>
      <w:b/>
      <w:color w:val="000000"/>
      <w:sz w:val="24"/>
      <w:szCs w:val="24"/>
      <w:lang w:val="ru-RU" w:eastAsia="ru-RU"/>
    </w:rPr>
  </w:style>
  <w:style w:type="paragraph" w:customStyle="1" w:styleId="Tmtt">
    <w:name w:val="Tóm tắt"/>
    <w:basedOn w:val="Normal"/>
    <w:link w:val="TmttChar"/>
    <w:qFormat/>
    <w:rsid w:val="008A6CDA"/>
    <w:pPr>
      <w:spacing w:after="120"/>
      <w:ind w:left="540" w:right="650"/>
    </w:pPr>
    <w:rPr>
      <w:rFonts w:eastAsia="Times New Roman"/>
      <w:bCs/>
      <w:color w:val="000000"/>
      <w:sz w:val="20"/>
      <w:szCs w:val="20"/>
      <w:lang w:val="ru-RU" w:eastAsia="ru-RU"/>
    </w:rPr>
  </w:style>
  <w:style w:type="character" w:customStyle="1" w:styleId="TmttChar">
    <w:name w:val="Tóm tắt Char"/>
    <w:link w:val="Tmtt"/>
    <w:rsid w:val="008A6CDA"/>
    <w:rPr>
      <w:rFonts w:ascii="Times New Roman" w:eastAsia="Times New Roman" w:hAnsi="Times New Roman" w:cs="Times New Roman"/>
      <w:bCs/>
      <w:color w:val="000000"/>
      <w:sz w:val="20"/>
      <w:szCs w:val="20"/>
      <w:lang w:val="ru-RU" w:eastAsia="ru-RU"/>
    </w:rPr>
  </w:style>
  <w:style w:type="character" w:customStyle="1" w:styleId="ColorfulList-Accent1Char">
    <w:name w:val="Colorful List - Accent 1 Char"/>
    <w:link w:val="ColorfulList-Accent11"/>
    <w:uiPriority w:val="34"/>
    <w:rsid w:val="008A6CDA"/>
    <w:rPr>
      <w:rFonts w:ascii="Times New Roman" w:eastAsia="Times New Roman" w:hAnsi="Times New Roman" w:cs="Times New Roman"/>
      <w:sz w:val="24"/>
      <w:szCs w:val="24"/>
      <w:lang w:val="ru-RU" w:eastAsia="ru-RU"/>
    </w:rPr>
  </w:style>
  <w:style w:type="character" w:customStyle="1" w:styleId="Heading1Char">
    <w:name w:val="Heading 1 Char"/>
    <w:link w:val="Heading1"/>
    <w:uiPriority w:val="1"/>
    <w:rsid w:val="008A6CDA"/>
    <w:rPr>
      <w:rFonts w:ascii="Cambria" w:eastAsia="SimSun" w:hAnsi="Cambria" w:cs="Times New Roman"/>
      <w:b/>
      <w:bCs/>
      <w:color w:val="365F91"/>
      <w:sz w:val="28"/>
      <w:szCs w:val="28"/>
    </w:rPr>
  </w:style>
  <w:style w:type="character" w:customStyle="1" w:styleId="Heading3Char">
    <w:name w:val="Heading 3 Char"/>
    <w:link w:val="Heading3"/>
    <w:uiPriority w:val="1"/>
    <w:rsid w:val="008A6CDA"/>
    <w:rPr>
      <w:rFonts w:ascii="Cambria" w:eastAsia="Times New Roman" w:hAnsi="Cambria" w:cs="Times New Roman"/>
      <w:b/>
      <w:bCs/>
      <w:color w:val="4F81BD"/>
      <w:sz w:val="20"/>
      <w:szCs w:val="20"/>
      <w:lang w:val="x-none" w:eastAsia="ru-RU"/>
    </w:rPr>
  </w:style>
  <w:style w:type="paragraph" w:styleId="BalloonText">
    <w:name w:val="Balloon Text"/>
    <w:basedOn w:val="Normal"/>
    <w:link w:val="BalloonTextChar"/>
    <w:uiPriority w:val="99"/>
    <w:semiHidden/>
    <w:unhideWhenUsed/>
    <w:rsid w:val="00E94C24"/>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E94C24"/>
    <w:rPr>
      <w:rFonts w:ascii="Tahoma" w:hAnsi="Tahoma" w:cs="Tahoma"/>
      <w:sz w:val="16"/>
      <w:szCs w:val="16"/>
    </w:rPr>
  </w:style>
  <w:style w:type="paragraph" w:styleId="NormalWeb">
    <w:name w:val="Normal (Web)"/>
    <w:basedOn w:val="Normal"/>
    <w:link w:val="NormalWebChar"/>
    <w:uiPriority w:val="99"/>
    <w:unhideWhenUsed/>
    <w:rsid w:val="0083519F"/>
    <w:pPr>
      <w:spacing w:before="100" w:beforeAutospacing="1" w:after="100" w:afterAutospacing="1"/>
    </w:pPr>
    <w:rPr>
      <w:sz w:val="24"/>
      <w:szCs w:val="24"/>
      <w:lang w:val="x-none"/>
    </w:rPr>
  </w:style>
  <w:style w:type="table" w:styleId="TableGrid">
    <w:name w:val="Table Grid"/>
    <w:basedOn w:val="TableNormal"/>
    <w:uiPriority w:val="39"/>
    <w:rsid w:val="00DD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1"/>
    <w:rsid w:val="00E3360B"/>
    <w:rPr>
      <w:rFonts w:ascii="Calibri" w:eastAsia="MS Gothic" w:hAnsi="Calibri" w:cs="Times New Roman"/>
      <w:b/>
      <w:bCs/>
      <w:i/>
      <w:iCs/>
      <w:sz w:val="28"/>
      <w:szCs w:val="28"/>
      <w:lang w:eastAsia="zh-TW"/>
    </w:rPr>
  </w:style>
  <w:style w:type="paragraph" w:styleId="EndnoteText">
    <w:name w:val="endnote text"/>
    <w:basedOn w:val="Normal"/>
    <w:link w:val="EndnoteTextChar"/>
    <w:uiPriority w:val="99"/>
    <w:unhideWhenUsed/>
    <w:rsid w:val="000C6A26"/>
    <w:pPr>
      <w:spacing w:after="0"/>
    </w:pPr>
    <w:rPr>
      <w:rFonts w:ascii="Cambria" w:eastAsia="Cambria" w:hAnsi="Cambria"/>
      <w:sz w:val="20"/>
      <w:szCs w:val="20"/>
      <w:lang w:val="x-none" w:eastAsia="x-none"/>
    </w:rPr>
  </w:style>
  <w:style w:type="character" w:customStyle="1" w:styleId="EndnoteTextChar">
    <w:name w:val="Endnote Text Char"/>
    <w:link w:val="EndnoteText"/>
    <w:uiPriority w:val="99"/>
    <w:rsid w:val="000C6A26"/>
    <w:rPr>
      <w:rFonts w:ascii="Cambria" w:eastAsia="Cambria" w:hAnsi="Cambria"/>
    </w:rPr>
  </w:style>
  <w:style w:type="paragraph" w:styleId="TOC4">
    <w:name w:val="toc 4"/>
    <w:basedOn w:val="Normal"/>
    <w:uiPriority w:val="39"/>
    <w:qFormat/>
    <w:rsid w:val="00C577F5"/>
    <w:pPr>
      <w:widowControl w:val="0"/>
      <w:spacing w:before="159" w:after="0"/>
      <w:ind w:left="2078" w:hanging="1122"/>
    </w:pPr>
    <w:rPr>
      <w:rFonts w:eastAsia="Times New Roman"/>
      <w:szCs w:val="28"/>
      <w:lang w:eastAsia="en-US"/>
    </w:rPr>
  </w:style>
  <w:style w:type="character" w:customStyle="1" w:styleId="Heading4Char">
    <w:name w:val="Heading 4 Char"/>
    <w:link w:val="Heading4"/>
    <w:uiPriority w:val="9"/>
    <w:rsid w:val="005C508A"/>
    <w:rPr>
      <w:rFonts w:ascii="Cambria" w:eastAsia="MS Gothic" w:hAnsi="Cambria"/>
      <w:b/>
      <w:bCs/>
      <w:i/>
      <w:iCs/>
      <w:color w:val="4F81BD"/>
      <w:sz w:val="28"/>
      <w:szCs w:val="22"/>
    </w:rPr>
  </w:style>
  <w:style w:type="character" w:customStyle="1" w:styleId="Heading5Char">
    <w:name w:val="Heading 5 Char"/>
    <w:link w:val="Heading5"/>
    <w:uiPriority w:val="9"/>
    <w:semiHidden/>
    <w:rsid w:val="005C508A"/>
    <w:rPr>
      <w:rFonts w:ascii="Cambria" w:eastAsia="MS Gothic" w:hAnsi="Cambria"/>
      <w:color w:val="243F60"/>
      <w:sz w:val="28"/>
      <w:szCs w:val="22"/>
    </w:rPr>
  </w:style>
  <w:style w:type="character" w:styleId="Hyperlink">
    <w:name w:val="Hyperlink"/>
    <w:uiPriority w:val="99"/>
    <w:unhideWhenUsed/>
    <w:rsid w:val="005C508A"/>
    <w:rPr>
      <w:color w:val="0000FF"/>
      <w:u w:val="single"/>
    </w:rPr>
  </w:style>
  <w:style w:type="numbering" w:customStyle="1" w:styleId="NoList1">
    <w:name w:val="No List1"/>
    <w:next w:val="NoList"/>
    <w:uiPriority w:val="99"/>
    <w:semiHidden/>
    <w:unhideWhenUsed/>
    <w:rsid w:val="005C508A"/>
  </w:style>
  <w:style w:type="paragraph" w:styleId="TOC1">
    <w:name w:val="toc 1"/>
    <w:basedOn w:val="Normal"/>
    <w:uiPriority w:val="39"/>
    <w:qFormat/>
    <w:rsid w:val="005C508A"/>
    <w:pPr>
      <w:widowControl w:val="0"/>
      <w:spacing w:before="158" w:after="0"/>
      <w:ind w:left="236"/>
    </w:pPr>
    <w:rPr>
      <w:rFonts w:eastAsia="Times New Roman"/>
      <w:szCs w:val="28"/>
      <w:lang w:eastAsia="en-US"/>
    </w:rPr>
  </w:style>
  <w:style w:type="paragraph" w:styleId="TOC2">
    <w:name w:val="toc 2"/>
    <w:basedOn w:val="Normal"/>
    <w:uiPriority w:val="39"/>
    <w:qFormat/>
    <w:rsid w:val="005C508A"/>
    <w:pPr>
      <w:widowControl w:val="0"/>
      <w:spacing w:before="159" w:after="0"/>
      <w:ind w:left="1498" w:hanging="907"/>
    </w:pPr>
    <w:rPr>
      <w:rFonts w:eastAsia="Times New Roman"/>
      <w:szCs w:val="28"/>
      <w:lang w:eastAsia="en-US"/>
    </w:rPr>
  </w:style>
  <w:style w:type="paragraph" w:styleId="TOC3">
    <w:name w:val="toc 3"/>
    <w:basedOn w:val="Normal"/>
    <w:uiPriority w:val="39"/>
    <w:qFormat/>
    <w:rsid w:val="005C508A"/>
    <w:pPr>
      <w:widowControl w:val="0"/>
      <w:spacing w:before="160" w:after="0"/>
      <w:ind w:left="1569" w:hanging="911"/>
    </w:pPr>
    <w:rPr>
      <w:rFonts w:eastAsia="Times New Roman"/>
      <w:szCs w:val="28"/>
      <w:lang w:eastAsia="en-US"/>
    </w:rPr>
  </w:style>
  <w:style w:type="paragraph" w:styleId="TOC5">
    <w:name w:val="toc 5"/>
    <w:basedOn w:val="Normal"/>
    <w:uiPriority w:val="39"/>
    <w:qFormat/>
    <w:rsid w:val="005C508A"/>
    <w:pPr>
      <w:widowControl w:val="0"/>
      <w:spacing w:before="167" w:after="0"/>
      <w:ind w:left="2204"/>
    </w:pPr>
    <w:rPr>
      <w:rFonts w:eastAsia="Times New Roman"/>
      <w:b/>
      <w:bCs/>
      <w:szCs w:val="28"/>
      <w:lang w:eastAsia="en-US"/>
    </w:rPr>
  </w:style>
  <w:style w:type="paragraph" w:styleId="TOC6">
    <w:name w:val="toc 6"/>
    <w:basedOn w:val="Normal"/>
    <w:uiPriority w:val="39"/>
    <w:qFormat/>
    <w:rsid w:val="005C508A"/>
    <w:pPr>
      <w:widowControl w:val="0"/>
      <w:spacing w:before="163" w:after="0"/>
      <w:ind w:left="2882"/>
    </w:pPr>
    <w:rPr>
      <w:rFonts w:eastAsia="Times New Roman"/>
      <w:b/>
      <w:bCs/>
      <w:szCs w:val="28"/>
      <w:lang w:eastAsia="en-US"/>
    </w:rPr>
  </w:style>
  <w:style w:type="paragraph" w:styleId="TOC7">
    <w:name w:val="toc 7"/>
    <w:basedOn w:val="Normal"/>
    <w:uiPriority w:val="39"/>
    <w:qFormat/>
    <w:rsid w:val="005C508A"/>
    <w:pPr>
      <w:widowControl w:val="0"/>
      <w:spacing w:before="159" w:after="0"/>
      <w:ind w:left="3294"/>
    </w:pPr>
    <w:rPr>
      <w:rFonts w:eastAsia="Times New Roman"/>
      <w:szCs w:val="28"/>
      <w:lang w:eastAsia="en-US"/>
    </w:rPr>
  </w:style>
  <w:style w:type="paragraph" w:styleId="BodyText">
    <w:name w:val="Body Text"/>
    <w:aliases w:val="TLTK,TOM TAT"/>
    <w:basedOn w:val="Normal"/>
    <w:link w:val="BodyTextChar"/>
    <w:uiPriority w:val="1"/>
    <w:qFormat/>
    <w:rsid w:val="00BA2C09"/>
    <w:pPr>
      <w:widowControl w:val="0"/>
      <w:ind w:firstLine="720"/>
      <w:jc w:val="center"/>
    </w:pPr>
    <w:rPr>
      <w:rFonts w:eastAsia="Times New Roman"/>
      <w:b/>
      <w:sz w:val="22"/>
      <w:szCs w:val="28"/>
      <w:lang w:val="x-none" w:eastAsia="x-none"/>
    </w:rPr>
  </w:style>
  <w:style w:type="character" w:customStyle="1" w:styleId="BodyTextChar">
    <w:name w:val="Body Text Char"/>
    <w:aliases w:val="TLTK Char,TOM TAT Char"/>
    <w:link w:val="BodyText"/>
    <w:uiPriority w:val="1"/>
    <w:rsid w:val="00BA2C09"/>
    <w:rPr>
      <w:rFonts w:ascii="Times New Roman" w:eastAsia="Times New Roman" w:hAnsi="Times New Roman"/>
      <w:b/>
      <w:sz w:val="22"/>
      <w:szCs w:val="28"/>
      <w:lang w:val="x-none" w:eastAsia="x-none"/>
    </w:rPr>
  </w:style>
  <w:style w:type="paragraph" w:customStyle="1" w:styleId="TableParagraph">
    <w:name w:val="Table Paragraph"/>
    <w:basedOn w:val="Normal"/>
    <w:uiPriority w:val="1"/>
    <w:qFormat/>
    <w:rsid w:val="005C508A"/>
    <w:pPr>
      <w:widowControl w:val="0"/>
      <w:spacing w:after="0"/>
    </w:pPr>
    <w:rPr>
      <w:rFonts w:eastAsia="Calibri"/>
      <w:lang w:eastAsia="en-US"/>
    </w:rPr>
  </w:style>
  <w:style w:type="paragraph" w:customStyle="1" w:styleId="BalloonText1">
    <w:name w:val="Balloon Text1"/>
    <w:basedOn w:val="Normal"/>
    <w:next w:val="BalloonText"/>
    <w:uiPriority w:val="99"/>
    <w:semiHidden/>
    <w:unhideWhenUsed/>
    <w:rsid w:val="005C508A"/>
    <w:pPr>
      <w:widowControl w:val="0"/>
      <w:spacing w:after="0"/>
    </w:pPr>
    <w:rPr>
      <w:rFonts w:ascii="Tahoma" w:eastAsia="Calibri" w:hAnsi="Tahoma" w:cs="Tahoma"/>
      <w:sz w:val="16"/>
      <w:szCs w:val="16"/>
      <w:lang w:eastAsia="en-US"/>
    </w:rPr>
  </w:style>
  <w:style w:type="character" w:customStyle="1" w:styleId="BalloonTextChar1">
    <w:name w:val="Balloon Text Char1"/>
    <w:uiPriority w:val="99"/>
    <w:semiHidden/>
    <w:rsid w:val="005C508A"/>
    <w:rPr>
      <w:rFonts w:ascii="Tahoma" w:hAnsi="Tahoma" w:cs="Tahoma"/>
      <w:sz w:val="16"/>
      <w:szCs w:val="16"/>
    </w:rPr>
  </w:style>
  <w:style w:type="numbering" w:customStyle="1" w:styleId="NoList2">
    <w:name w:val="No List2"/>
    <w:next w:val="NoList"/>
    <w:uiPriority w:val="99"/>
    <w:semiHidden/>
    <w:unhideWhenUsed/>
    <w:rsid w:val="005C508A"/>
  </w:style>
  <w:style w:type="paragraph" w:customStyle="1" w:styleId="NoSpacing1">
    <w:name w:val="No Spacing1"/>
    <w:uiPriority w:val="1"/>
    <w:qFormat/>
    <w:rsid w:val="005C508A"/>
    <w:pPr>
      <w:jc w:val="both"/>
    </w:pPr>
    <w:rPr>
      <w:rFonts w:ascii="Times New Roman" w:eastAsia="Calibri" w:hAnsi="Times New Roman"/>
      <w:sz w:val="28"/>
      <w:szCs w:val="22"/>
    </w:rPr>
  </w:style>
  <w:style w:type="paragraph" w:styleId="TOC8">
    <w:name w:val="toc 8"/>
    <w:basedOn w:val="Normal"/>
    <w:next w:val="Normal"/>
    <w:autoRedefine/>
    <w:uiPriority w:val="39"/>
    <w:unhideWhenUsed/>
    <w:rsid w:val="005C508A"/>
    <w:pPr>
      <w:spacing w:after="100"/>
      <w:ind w:left="1540"/>
    </w:pPr>
    <w:rPr>
      <w:rFonts w:eastAsia="MS Mincho"/>
      <w:lang w:eastAsia="en-US"/>
    </w:rPr>
  </w:style>
  <w:style w:type="paragraph" w:styleId="TOC9">
    <w:name w:val="toc 9"/>
    <w:basedOn w:val="Normal"/>
    <w:next w:val="Normal"/>
    <w:autoRedefine/>
    <w:uiPriority w:val="39"/>
    <w:unhideWhenUsed/>
    <w:rsid w:val="005C508A"/>
    <w:pPr>
      <w:spacing w:after="100"/>
      <w:ind w:left="1760"/>
    </w:pPr>
    <w:rPr>
      <w:rFonts w:eastAsia="MS Mincho"/>
      <w:lang w:eastAsia="en-US"/>
    </w:rPr>
  </w:style>
  <w:style w:type="paragraph" w:styleId="Caption">
    <w:name w:val="caption"/>
    <w:basedOn w:val="Normal"/>
    <w:next w:val="Normal"/>
    <w:uiPriority w:val="35"/>
    <w:qFormat/>
    <w:rsid w:val="005C508A"/>
    <w:rPr>
      <w:rFonts w:eastAsia="Calibri"/>
      <w:b/>
      <w:bCs/>
      <w:color w:val="4F81BD"/>
      <w:sz w:val="18"/>
      <w:szCs w:val="18"/>
      <w:lang w:eastAsia="en-US"/>
    </w:rPr>
  </w:style>
  <w:style w:type="character" w:styleId="CommentReference">
    <w:name w:val="annotation reference"/>
    <w:uiPriority w:val="99"/>
    <w:semiHidden/>
    <w:unhideWhenUsed/>
    <w:rsid w:val="005C508A"/>
    <w:rPr>
      <w:sz w:val="18"/>
      <w:szCs w:val="18"/>
    </w:rPr>
  </w:style>
  <w:style w:type="paragraph" w:styleId="CommentText">
    <w:name w:val="annotation text"/>
    <w:basedOn w:val="Normal"/>
    <w:link w:val="CommentTextChar"/>
    <w:uiPriority w:val="99"/>
    <w:semiHidden/>
    <w:unhideWhenUsed/>
    <w:rsid w:val="005C508A"/>
    <w:rPr>
      <w:rFonts w:eastAsia="Calibri"/>
      <w:sz w:val="24"/>
      <w:szCs w:val="24"/>
      <w:lang w:val="x-none" w:eastAsia="x-none"/>
    </w:rPr>
  </w:style>
  <w:style w:type="character" w:customStyle="1" w:styleId="CommentTextChar">
    <w:name w:val="Comment Text Char"/>
    <w:link w:val="CommentText"/>
    <w:uiPriority w:val="99"/>
    <w:semiHidden/>
    <w:rsid w:val="005C508A"/>
    <w:rPr>
      <w:rFonts w:ascii="Times New Roman" w:eastAsia="Calibri" w:hAnsi="Times New Roman"/>
      <w:sz w:val="24"/>
      <w:szCs w:val="24"/>
    </w:rPr>
  </w:style>
  <w:style w:type="paragraph" w:styleId="CommentSubject">
    <w:name w:val="annotation subject"/>
    <w:basedOn w:val="CommentText"/>
    <w:next w:val="CommentText"/>
    <w:link w:val="CommentSubjectChar"/>
    <w:uiPriority w:val="99"/>
    <w:semiHidden/>
    <w:unhideWhenUsed/>
    <w:rsid w:val="005C508A"/>
    <w:rPr>
      <w:b/>
      <w:bCs/>
    </w:rPr>
  </w:style>
  <w:style w:type="character" w:customStyle="1" w:styleId="CommentSubjectChar">
    <w:name w:val="Comment Subject Char"/>
    <w:link w:val="CommentSubject"/>
    <w:uiPriority w:val="99"/>
    <w:semiHidden/>
    <w:rsid w:val="005C508A"/>
    <w:rPr>
      <w:rFonts w:ascii="Times New Roman" w:eastAsia="Calibri" w:hAnsi="Times New Roman"/>
      <w:b/>
      <w:bCs/>
      <w:sz w:val="24"/>
      <w:szCs w:val="24"/>
    </w:rPr>
  </w:style>
  <w:style w:type="character" w:styleId="EndnoteReference">
    <w:name w:val="endnote reference"/>
    <w:uiPriority w:val="99"/>
    <w:unhideWhenUsed/>
    <w:rsid w:val="00BC6B43"/>
    <w:rPr>
      <w:vertAlign w:val="superscript"/>
    </w:rPr>
  </w:style>
  <w:style w:type="paragraph" w:customStyle="1" w:styleId="BANG">
    <w:name w:val="BANG"/>
    <w:aliases w:val="HINH"/>
    <w:basedOn w:val="Normal"/>
    <w:link w:val="BANGChar"/>
    <w:qFormat/>
    <w:rsid w:val="007071C0"/>
    <w:pPr>
      <w:spacing w:after="0" w:line="360" w:lineRule="auto"/>
      <w:jc w:val="center"/>
    </w:pPr>
    <w:rPr>
      <w:rFonts w:eastAsia="Times New Roman"/>
      <w:b/>
      <w:sz w:val="26"/>
      <w:szCs w:val="24"/>
      <w:lang w:val="x-none" w:eastAsia="x-none"/>
    </w:rPr>
  </w:style>
  <w:style w:type="character" w:customStyle="1" w:styleId="BANGChar">
    <w:name w:val="BANG Char"/>
    <w:aliases w:val="HINH Char"/>
    <w:link w:val="BANG"/>
    <w:rsid w:val="007071C0"/>
    <w:rPr>
      <w:rFonts w:ascii="Times New Roman" w:eastAsia="Times New Roman" w:hAnsi="Times New Roman"/>
      <w:b/>
      <w:sz w:val="26"/>
      <w:szCs w:val="24"/>
      <w:lang w:val="x-none" w:eastAsia="x-none"/>
    </w:rPr>
  </w:style>
  <w:style w:type="paragraph" w:customStyle="1" w:styleId="ListParagraph1">
    <w:name w:val="List Paragraph1"/>
    <w:aliases w:val="BẢNG,Figures"/>
    <w:basedOn w:val="Normal"/>
    <w:link w:val="ListParagraphChar"/>
    <w:uiPriority w:val="34"/>
    <w:qFormat/>
    <w:rsid w:val="00BA2C09"/>
    <w:pPr>
      <w:spacing w:before="0" w:after="200" w:line="276" w:lineRule="auto"/>
      <w:ind w:left="720" w:firstLine="0"/>
      <w:contextualSpacing/>
      <w:jc w:val="left"/>
    </w:pPr>
    <w:rPr>
      <w:rFonts w:ascii="Calibri" w:eastAsia="MS Mincho" w:hAnsi="Calibri"/>
      <w:sz w:val="22"/>
      <w:lang w:val="x-none" w:eastAsia="x-none"/>
    </w:rPr>
  </w:style>
  <w:style w:type="character" w:customStyle="1" w:styleId="ListParagraphChar">
    <w:name w:val="List Paragraph Char"/>
    <w:aliases w:val="BẢNG Char,Figures Char"/>
    <w:link w:val="ListParagraph1"/>
    <w:uiPriority w:val="34"/>
    <w:rsid w:val="00BA2C09"/>
    <w:rPr>
      <w:rFonts w:eastAsia="MS Mincho"/>
      <w:sz w:val="22"/>
      <w:szCs w:val="22"/>
    </w:rPr>
  </w:style>
  <w:style w:type="paragraph" w:customStyle="1" w:styleId="1F8">
    <w:name w:val="1. (F8)"/>
    <w:basedOn w:val="Heading7"/>
    <w:link w:val="1F8Char"/>
    <w:rsid w:val="00BA2C09"/>
    <w:pPr>
      <w:keepNext/>
      <w:spacing w:before="567" w:after="284"/>
      <w:ind w:firstLine="0"/>
    </w:pPr>
    <w:rPr>
      <w:rFonts w:ascii="Times New Roman" w:eastAsia="MS Mincho" w:hAnsi="Times New Roman"/>
      <w:b/>
      <w:bCs/>
      <w:sz w:val="22"/>
      <w:szCs w:val="22"/>
      <w:lang w:eastAsia="x-none"/>
    </w:rPr>
  </w:style>
  <w:style w:type="paragraph" w:customStyle="1" w:styleId="1F6">
    <w:name w:val="1.(F6)"/>
    <w:basedOn w:val="1F8"/>
    <w:link w:val="1F6Char"/>
    <w:rsid w:val="00BA2C09"/>
    <w:pPr>
      <w:spacing w:line="300" w:lineRule="atLeast"/>
    </w:pPr>
  </w:style>
  <w:style w:type="character" w:customStyle="1" w:styleId="1F8Char">
    <w:name w:val="1. (F8) Char"/>
    <w:link w:val="1F8"/>
    <w:rsid w:val="00BA2C09"/>
    <w:rPr>
      <w:rFonts w:ascii="Times New Roman" w:eastAsia="MS Mincho" w:hAnsi="Times New Roman"/>
      <w:b/>
      <w:bCs/>
      <w:sz w:val="22"/>
      <w:szCs w:val="22"/>
    </w:rPr>
  </w:style>
  <w:style w:type="character" w:customStyle="1" w:styleId="1F6Char">
    <w:name w:val="1.(F6) Char"/>
    <w:link w:val="1F6"/>
    <w:rsid w:val="00BA2C09"/>
  </w:style>
  <w:style w:type="character" w:customStyle="1" w:styleId="Heading7Char">
    <w:name w:val="Heading 7 Char"/>
    <w:link w:val="Heading7"/>
    <w:uiPriority w:val="9"/>
    <w:semiHidden/>
    <w:rsid w:val="00BA2C09"/>
    <w:rPr>
      <w:rFonts w:ascii="Calibri" w:eastAsia="Times New Roman" w:hAnsi="Calibri" w:cs="Times New Roman"/>
      <w:sz w:val="24"/>
      <w:szCs w:val="24"/>
      <w:lang w:eastAsia="zh-TW"/>
    </w:rPr>
  </w:style>
  <w:style w:type="character" w:styleId="UnresolvedMention">
    <w:name w:val="Unresolved Mention"/>
    <w:uiPriority w:val="99"/>
    <w:semiHidden/>
    <w:unhideWhenUsed/>
    <w:rsid w:val="00296E96"/>
    <w:rPr>
      <w:color w:val="605E5C"/>
      <w:shd w:val="clear" w:color="auto" w:fill="E1DFDD"/>
    </w:rPr>
  </w:style>
  <w:style w:type="paragraph" w:customStyle="1" w:styleId="EndNoteBibliographyTitle">
    <w:name w:val="EndNote Bibliography Title"/>
    <w:basedOn w:val="Normal"/>
    <w:link w:val="EndNoteBibliographyTitleChar"/>
    <w:rsid w:val="00993828"/>
    <w:pPr>
      <w:spacing w:after="0"/>
      <w:jc w:val="center"/>
    </w:pPr>
    <w:rPr>
      <w:noProof/>
      <w:lang w:val="x-none"/>
    </w:rPr>
  </w:style>
  <w:style w:type="character" w:customStyle="1" w:styleId="EndNoteBibliographyTitleChar">
    <w:name w:val="EndNote Bibliography Title Char"/>
    <w:link w:val="EndNoteBibliographyTitle"/>
    <w:rsid w:val="00993828"/>
    <w:rPr>
      <w:rFonts w:ascii="Times New Roman" w:hAnsi="Times New Roman"/>
      <w:noProof/>
      <w:sz w:val="28"/>
      <w:szCs w:val="22"/>
      <w:lang w:eastAsia="zh-TW"/>
    </w:rPr>
  </w:style>
  <w:style w:type="paragraph" w:customStyle="1" w:styleId="EndNoteBibliography">
    <w:name w:val="EndNote Bibliography"/>
    <w:basedOn w:val="Normal"/>
    <w:link w:val="EndNoteBibliographyChar"/>
    <w:rsid w:val="00993828"/>
    <w:rPr>
      <w:noProof/>
      <w:lang w:val="x-none"/>
    </w:rPr>
  </w:style>
  <w:style w:type="character" w:customStyle="1" w:styleId="EndNoteBibliographyChar">
    <w:name w:val="EndNote Bibliography Char"/>
    <w:link w:val="EndNoteBibliography"/>
    <w:rsid w:val="00993828"/>
    <w:rPr>
      <w:rFonts w:ascii="Times New Roman" w:hAnsi="Times New Roman"/>
      <w:noProof/>
      <w:sz w:val="28"/>
      <w:szCs w:val="22"/>
      <w:lang w:eastAsia="zh-TW"/>
    </w:rPr>
  </w:style>
  <w:style w:type="character" w:styleId="HTMLDefinition">
    <w:name w:val="HTML Definition"/>
    <w:uiPriority w:val="99"/>
    <w:semiHidden/>
    <w:unhideWhenUsed/>
    <w:rsid w:val="00BF155C"/>
    <w:rPr>
      <w:i/>
      <w:iCs/>
    </w:rPr>
  </w:style>
  <w:style w:type="paragraph" w:styleId="Revision">
    <w:name w:val="Revision"/>
    <w:hidden/>
    <w:uiPriority w:val="99"/>
    <w:semiHidden/>
    <w:rsid w:val="00A1674A"/>
    <w:rPr>
      <w:rFonts w:ascii="Times New Roman" w:hAnsi="Times New Roman"/>
      <w:sz w:val="28"/>
      <w:szCs w:val="22"/>
      <w:lang w:eastAsia="zh-TW"/>
    </w:rPr>
  </w:style>
  <w:style w:type="paragraph" w:styleId="FootnoteText">
    <w:name w:val="footnote text"/>
    <w:basedOn w:val="Normal"/>
    <w:link w:val="FootnoteTextChar"/>
    <w:uiPriority w:val="99"/>
    <w:semiHidden/>
    <w:unhideWhenUsed/>
    <w:rsid w:val="00886471"/>
    <w:rPr>
      <w:sz w:val="20"/>
      <w:szCs w:val="20"/>
    </w:rPr>
  </w:style>
  <w:style w:type="character" w:customStyle="1" w:styleId="FootnoteTextChar">
    <w:name w:val="Footnote Text Char"/>
    <w:link w:val="FootnoteText"/>
    <w:uiPriority w:val="99"/>
    <w:semiHidden/>
    <w:rsid w:val="00886471"/>
    <w:rPr>
      <w:rFonts w:ascii="Times New Roman" w:hAnsi="Times New Roman"/>
      <w:lang w:val="en-US" w:eastAsia="zh-TW"/>
    </w:rPr>
  </w:style>
  <w:style w:type="character" w:styleId="FootnoteReference">
    <w:name w:val="footnote reference"/>
    <w:uiPriority w:val="99"/>
    <w:semiHidden/>
    <w:unhideWhenUsed/>
    <w:rsid w:val="00886471"/>
    <w:rPr>
      <w:vertAlign w:val="superscript"/>
    </w:rPr>
  </w:style>
  <w:style w:type="character" w:customStyle="1" w:styleId="fontstyle01">
    <w:name w:val="fontstyle01"/>
    <w:rsid w:val="001517B5"/>
    <w:rPr>
      <w:rFonts w:ascii="TT24Bo00" w:hAnsi="TT24Bo00" w:hint="default"/>
      <w:b w:val="0"/>
      <w:bCs w:val="0"/>
      <w:i w:val="0"/>
      <w:iCs w:val="0"/>
      <w:color w:val="000000"/>
      <w:sz w:val="14"/>
      <w:szCs w:val="14"/>
    </w:rPr>
  </w:style>
  <w:style w:type="paragraph" w:customStyle="1" w:styleId="Default">
    <w:name w:val="Default"/>
    <w:rsid w:val="00D4187E"/>
    <w:pPr>
      <w:autoSpaceDE w:val="0"/>
      <w:autoSpaceDN w:val="0"/>
      <w:adjustRightInd w:val="0"/>
    </w:pPr>
    <w:rPr>
      <w:rFonts w:ascii="Times New Roman" w:hAnsi="Times New Roman"/>
      <w:color w:val="000000"/>
      <w:sz w:val="24"/>
      <w:szCs w:val="24"/>
      <w:lang w:val="vi-VN" w:eastAsia="vi-VN"/>
    </w:rPr>
  </w:style>
  <w:style w:type="paragraph" w:styleId="Bibliography">
    <w:name w:val="Bibliography"/>
    <w:basedOn w:val="Normal"/>
    <w:next w:val="Normal"/>
    <w:uiPriority w:val="37"/>
    <w:unhideWhenUsed/>
    <w:rsid w:val="00447793"/>
    <w:pPr>
      <w:spacing w:before="0" w:after="160" w:line="259" w:lineRule="auto"/>
      <w:ind w:firstLine="0"/>
      <w:jc w:val="left"/>
    </w:pPr>
    <w:rPr>
      <w:rFonts w:ascii="Calibri" w:eastAsia="Calibri" w:hAnsi="Calibri"/>
      <w:sz w:val="22"/>
      <w:lang w:eastAsia="en-US"/>
    </w:rPr>
  </w:style>
  <w:style w:type="paragraph" w:customStyle="1" w:styleId="4">
    <w:name w:val="4."/>
    <w:basedOn w:val="Normal"/>
    <w:qFormat/>
    <w:rsid w:val="00447793"/>
    <w:pPr>
      <w:spacing w:before="0" w:after="0" w:line="360" w:lineRule="auto"/>
      <w:ind w:firstLine="0"/>
    </w:pPr>
    <w:rPr>
      <w:rFonts w:eastAsia="Calibri"/>
      <w:i/>
      <w:shd w:val="clear" w:color="auto" w:fill="FFFFFF"/>
      <w:lang w:eastAsia="en-US"/>
    </w:rPr>
  </w:style>
  <w:style w:type="paragraph" w:styleId="NoSpacing">
    <w:name w:val="No Spacing"/>
    <w:uiPriority w:val="1"/>
    <w:qFormat/>
    <w:rsid w:val="00447793"/>
    <w:rPr>
      <w:rFonts w:ascii="Times New Roman" w:eastAsia="Calibri" w:hAnsi="Times New Roman"/>
      <w:sz w:val="28"/>
      <w:szCs w:val="24"/>
    </w:rPr>
  </w:style>
  <w:style w:type="paragraph" w:customStyle="1" w:styleId="Bng">
    <w:name w:val="Bảng"/>
    <w:basedOn w:val="Normal"/>
    <w:rsid w:val="00447793"/>
    <w:pPr>
      <w:spacing w:before="0" w:after="0" w:line="360" w:lineRule="auto"/>
      <w:ind w:firstLine="0"/>
      <w:jc w:val="center"/>
    </w:pPr>
    <w:rPr>
      <w:rFonts w:eastAsia="Calibri"/>
      <w:b/>
      <w:noProof/>
      <w:szCs w:val="28"/>
      <w:lang w:eastAsia="en-US"/>
    </w:rPr>
  </w:style>
  <w:style w:type="paragraph" w:customStyle="1" w:styleId="L2">
    <w:name w:val="L2"/>
    <w:basedOn w:val="Normal"/>
    <w:qFormat/>
    <w:rsid w:val="00447793"/>
    <w:pPr>
      <w:numPr>
        <w:ilvl w:val="1"/>
        <w:numId w:val="6"/>
      </w:numPr>
      <w:spacing w:before="0" w:after="0" w:line="360" w:lineRule="auto"/>
    </w:pPr>
    <w:rPr>
      <w:rFonts w:eastAsia="Calibri"/>
      <w:b/>
      <w:color w:val="000000"/>
      <w:szCs w:val="28"/>
      <w:lang w:eastAsia="en-US"/>
    </w:rPr>
  </w:style>
  <w:style w:type="paragraph" w:customStyle="1" w:styleId="L1">
    <w:name w:val="L1"/>
    <w:basedOn w:val="Normal"/>
    <w:qFormat/>
    <w:rsid w:val="00447793"/>
    <w:pPr>
      <w:numPr>
        <w:numId w:val="6"/>
      </w:numPr>
      <w:spacing w:before="0" w:after="0" w:line="360" w:lineRule="auto"/>
      <w:jc w:val="center"/>
    </w:pPr>
    <w:rPr>
      <w:rFonts w:eastAsia="Calibri"/>
      <w:b/>
      <w:color w:val="000000"/>
      <w:szCs w:val="28"/>
      <w:lang w:eastAsia="en-US"/>
    </w:rPr>
  </w:style>
  <w:style w:type="paragraph" w:customStyle="1" w:styleId="L3">
    <w:name w:val="L3"/>
    <w:basedOn w:val="Normal"/>
    <w:qFormat/>
    <w:rsid w:val="00447793"/>
    <w:pPr>
      <w:numPr>
        <w:ilvl w:val="2"/>
        <w:numId w:val="6"/>
      </w:numPr>
      <w:spacing w:before="0" w:after="0" w:line="360" w:lineRule="auto"/>
      <w:ind w:left="0" w:firstLine="0"/>
    </w:pPr>
    <w:rPr>
      <w:rFonts w:eastAsia="Calibri"/>
      <w:b/>
      <w:color w:val="000000"/>
      <w:szCs w:val="28"/>
      <w:lang w:eastAsia="en-US"/>
    </w:rPr>
  </w:style>
  <w:style w:type="paragraph" w:customStyle="1" w:styleId="L4">
    <w:name w:val="L4"/>
    <w:basedOn w:val="L3"/>
    <w:qFormat/>
    <w:rsid w:val="00447793"/>
    <w:pPr>
      <w:numPr>
        <w:ilvl w:val="3"/>
      </w:numPr>
      <w:ind w:left="0" w:firstLine="720"/>
    </w:pPr>
    <w:rPr>
      <w:b w:val="0"/>
      <w:i/>
    </w:rPr>
  </w:style>
  <w:style w:type="paragraph" w:customStyle="1" w:styleId="B">
    <w:name w:val="B."/>
    <w:basedOn w:val="Normal"/>
    <w:qFormat/>
    <w:rsid w:val="00447793"/>
    <w:pPr>
      <w:spacing w:before="0" w:after="0" w:line="360" w:lineRule="auto"/>
      <w:ind w:firstLine="0"/>
      <w:jc w:val="center"/>
    </w:pPr>
    <w:rPr>
      <w:rFonts w:eastAsia="Calibri"/>
      <w:b/>
      <w:color w:val="050505"/>
      <w:szCs w:val="28"/>
      <w:shd w:val="clear" w:color="auto" w:fill="FFFFFF"/>
      <w:lang w:eastAsia="en-US"/>
    </w:rPr>
  </w:style>
  <w:style w:type="paragraph" w:customStyle="1" w:styleId="1">
    <w:name w:val="1."/>
    <w:basedOn w:val="Normal"/>
    <w:qFormat/>
    <w:rsid w:val="00447793"/>
    <w:pPr>
      <w:spacing w:before="0" w:after="0" w:line="360" w:lineRule="auto"/>
      <w:ind w:firstLine="0"/>
      <w:jc w:val="center"/>
    </w:pPr>
    <w:rPr>
      <w:rFonts w:eastAsia="Calibri"/>
      <w:b/>
      <w:lang w:eastAsia="en-US"/>
    </w:rPr>
  </w:style>
  <w:style w:type="paragraph" w:customStyle="1" w:styleId="LNM">
    <w:name w:val="LNM"/>
    <w:basedOn w:val="Normal"/>
    <w:qFormat/>
    <w:rsid w:val="00447793"/>
    <w:pPr>
      <w:spacing w:before="0" w:after="0" w:line="360" w:lineRule="auto"/>
      <w:ind w:firstLine="720"/>
    </w:pPr>
    <w:rPr>
      <w:rFonts w:eastAsia="Calibri"/>
      <w:color w:val="000000"/>
      <w:szCs w:val="28"/>
      <w:lang w:eastAsia="en-US"/>
    </w:rPr>
  </w:style>
  <w:style w:type="character" w:customStyle="1" w:styleId="NormalWebChar">
    <w:name w:val="Normal (Web) Char"/>
    <w:link w:val="NormalWeb"/>
    <w:uiPriority w:val="99"/>
    <w:rsid w:val="007F1E2B"/>
    <w:rPr>
      <w:rFonts w:ascii="Times New Roman" w:hAnsi="Times New Roman"/>
      <w:sz w:val="24"/>
      <w:szCs w:val="24"/>
      <w:lang w:eastAsia="zh-TW"/>
    </w:rPr>
  </w:style>
  <w:style w:type="character" w:styleId="Emphasis">
    <w:name w:val="Emphasis"/>
    <w:uiPriority w:val="20"/>
    <w:qFormat/>
    <w:rsid w:val="000C012F"/>
    <w:rPr>
      <w:i/>
      <w:iCs/>
    </w:rPr>
  </w:style>
  <w:style w:type="character" w:styleId="Strong">
    <w:name w:val="Strong"/>
    <w:uiPriority w:val="22"/>
    <w:qFormat/>
    <w:rsid w:val="00AD1177"/>
    <w:rPr>
      <w:b/>
      <w:bCs/>
    </w:rPr>
  </w:style>
  <w:style w:type="paragraph" w:customStyle="1" w:styleId="03">
    <w:name w:val="03"/>
    <w:basedOn w:val="Normal"/>
    <w:uiPriority w:val="99"/>
    <w:qFormat/>
    <w:rsid w:val="002D5370"/>
    <w:pPr>
      <w:spacing w:before="0" w:after="0" w:line="360" w:lineRule="auto"/>
      <w:ind w:firstLine="0"/>
      <w:outlineLvl w:val="2"/>
    </w:pPr>
    <w:rPr>
      <w:rFonts w:eastAsia="Times New Roman"/>
      <w:b/>
      <w:i/>
      <w:szCs w:val="28"/>
      <w:lang w:eastAsia="vi-VN"/>
    </w:rPr>
  </w:style>
  <w:style w:type="paragraph" w:customStyle="1" w:styleId="05-thanbai">
    <w:name w:val="05-thanbai"/>
    <w:autoRedefine/>
    <w:qFormat/>
    <w:rsid w:val="00A153A7"/>
    <w:pPr>
      <w:spacing w:before="60"/>
      <w:jc w:val="both"/>
    </w:pPr>
    <w:rPr>
      <w:rFonts w:ascii="Times New Roman" w:eastAsia="Calibri" w:hAnsi="Times New Roman"/>
      <w:bCs/>
      <w:noProof/>
      <w:sz w:val="24"/>
      <w:szCs w:val="24"/>
    </w:rPr>
  </w:style>
  <w:style w:type="paragraph" w:customStyle="1" w:styleId="06--">
    <w:name w:val="06- &quot;-&quot;"/>
    <w:next w:val="Normal"/>
    <w:autoRedefine/>
    <w:qFormat/>
    <w:rsid w:val="00A153A7"/>
    <w:pPr>
      <w:spacing w:before="60"/>
      <w:ind w:firstLine="567"/>
      <w:jc w:val="both"/>
    </w:pPr>
    <w:rPr>
      <w:rFonts w:ascii="Cambria Math" w:eastAsia="Times New Roman" w:hAnsi="Cambria Math"/>
      <w:bCs/>
      <w:i/>
      <w:sz w:val="24"/>
      <w:szCs w:val="24"/>
      <w:lang w:eastAsia="ja-JP"/>
    </w:rPr>
  </w:style>
  <w:style w:type="paragraph" w:customStyle="1" w:styleId="07-Bang">
    <w:name w:val="07-Bang"/>
    <w:autoRedefine/>
    <w:qFormat/>
    <w:rsid w:val="00A153A7"/>
    <w:pPr>
      <w:tabs>
        <w:tab w:val="left" w:pos="993"/>
      </w:tabs>
      <w:ind w:right="-113"/>
    </w:pPr>
    <w:rPr>
      <w:rFonts w:ascii="Times New Roman" w:eastAsia="Times New Roman" w:hAnsi="Times New Roman"/>
      <w:b/>
      <w:sz w:val="26"/>
      <w:szCs w:val="30"/>
      <w:lang w:val="nl-NL" w:eastAsia="ja-JP"/>
    </w:rPr>
  </w:style>
  <w:style w:type="paragraph" w:customStyle="1" w:styleId="Bibliography2">
    <w:name w:val="Bibliography2"/>
    <w:basedOn w:val="Normal"/>
    <w:next w:val="Normal"/>
    <w:uiPriority w:val="37"/>
    <w:unhideWhenUsed/>
    <w:rsid w:val="00791E48"/>
    <w:pPr>
      <w:spacing w:before="0" w:after="160" w:line="259" w:lineRule="auto"/>
      <w:ind w:firstLine="0"/>
      <w:jc w:val="left"/>
    </w:pPr>
    <w:rPr>
      <w:rFonts w:ascii="Calibri" w:eastAsia="Calibri" w:hAnsi="Calibri"/>
      <w:kern w:val="2"/>
      <w:sz w:val="22"/>
      <w:lang w:eastAsia="en-US"/>
    </w:rPr>
  </w:style>
  <w:style w:type="paragraph" w:customStyle="1" w:styleId="show">
    <w:name w:val="show"/>
    <w:basedOn w:val="Normal"/>
    <w:rsid w:val="00331EEF"/>
    <w:pPr>
      <w:spacing w:before="100" w:beforeAutospacing="1" w:after="100" w:afterAutospacing="1"/>
      <w:ind w:firstLine="0"/>
      <w:jc w:val="left"/>
    </w:pPr>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78111">
      <w:bodyDiv w:val="1"/>
      <w:marLeft w:val="0"/>
      <w:marRight w:val="0"/>
      <w:marTop w:val="0"/>
      <w:marBottom w:val="0"/>
      <w:divBdr>
        <w:top w:val="none" w:sz="0" w:space="0" w:color="auto"/>
        <w:left w:val="none" w:sz="0" w:space="0" w:color="auto"/>
        <w:bottom w:val="none" w:sz="0" w:space="0" w:color="auto"/>
        <w:right w:val="none" w:sz="0" w:space="0" w:color="auto"/>
      </w:divBdr>
    </w:div>
    <w:div w:id="205916668">
      <w:bodyDiv w:val="1"/>
      <w:marLeft w:val="0"/>
      <w:marRight w:val="0"/>
      <w:marTop w:val="0"/>
      <w:marBottom w:val="0"/>
      <w:divBdr>
        <w:top w:val="none" w:sz="0" w:space="0" w:color="auto"/>
        <w:left w:val="none" w:sz="0" w:space="0" w:color="auto"/>
        <w:bottom w:val="none" w:sz="0" w:space="0" w:color="auto"/>
        <w:right w:val="none" w:sz="0" w:space="0" w:color="auto"/>
      </w:divBdr>
    </w:div>
    <w:div w:id="224805094">
      <w:bodyDiv w:val="1"/>
      <w:marLeft w:val="0"/>
      <w:marRight w:val="0"/>
      <w:marTop w:val="0"/>
      <w:marBottom w:val="0"/>
      <w:divBdr>
        <w:top w:val="none" w:sz="0" w:space="0" w:color="auto"/>
        <w:left w:val="none" w:sz="0" w:space="0" w:color="auto"/>
        <w:bottom w:val="none" w:sz="0" w:space="0" w:color="auto"/>
        <w:right w:val="none" w:sz="0" w:space="0" w:color="auto"/>
      </w:divBdr>
      <w:divsChild>
        <w:div w:id="1779526967">
          <w:marLeft w:val="0"/>
          <w:marRight w:val="0"/>
          <w:marTop w:val="0"/>
          <w:marBottom w:val="0"/>
          <w:divBdr>
            <w:top w:val="none" w:sz="0" w:space="0" w:color="auto"/>
            <w:left w:val="none" w:sz="0" w:space="0" w:color="auto"/>
            <w:bottom w:val="none" w:sz="0" w:space="0" w:color="auto"/>
            <w:right w:val="none" w:sz="0" w:space="0" w:color="auto"/>
          </w:divBdr>
          <w:divsChild>
            <w:div w:id="257835672">
              <w:marLeft w:val="0"/>
              <w:marRight w:val="0"/>
              <w:marTop w:val="0"/>
              <w:marBottom w:val="0"/>
              <w:divBdr>
                <w:top w:val="none" w:sz="0" w:space="0" w:color="auto"/>
                <w:left w:val="none" w:sz="0" w:space="0" w:color="auto"/>
                <w:bottom w:val="none" w:sz="0" w:space="0" w:color="auto"/>
                <w:right w:val="none" w:sz="0" w:space="0" w:color="auto"/>
              </w:divBdr>
              <w:divsChild>
                <w:div w:id="174752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954048">
      <w:bodyDiv w:val="1"/>
      <w:marLeft w:val="0"/>
      <w:marRight w:val="0"/>
      <w:marTop w:val="0"/>
      <w:marBottom w:val="0"/>
      <w:divBdr>
        <w:top w:val="none" w:sz="0" w:space="0" w:color="auto"/>
        <w:left w:val="none" w:sz="0" w:space="0" w:color="auto"/>
        <w:bottom w:val="none" w:sz="0" w:space="0" w:color="auto"/>
        <w:right w:val="none" w:sz="0" w:space="0" w:color="auto"/>
      </w:divBdr>
      <w:divsChild>
        <w:div w:id="1414623387">
          <w:marLeft w:val="0"/>
          <w:marRight w:val="0"/>
          <w:marTop w:val="0"/>
          <w:marBottom w:val="0"/>
          <w:divBdr>
            <w:top w:val="none" w:sz="0" w:space="0" w:color="auto"/>
            <w:left w:val="none" w:sz="0" w:space="0" w:color="auto"/>
            <w:bottom w:val="none" w:sz="0" w:space="0" w:color="auto"/>
            <w:right w:val="none" w:sz="0" w:space="0" w:color="auto"/>
          </w:divBdr>
          <w:divsChild>
            <w:div w:id="879167878">
              <w:marLeft w:val="0"/>
              <w:marRight w:val="0"/>
              <w:marTop w:val="0"/>
              <w:marBottom w:val="0"/>
              <w:divBdr>
                <w:top w:val="none" w:sz="0" w:space="0" w:color="auto"/>
                <w:left w:val="none" w:sz="0" w:space="0" w:color="auto"/>
                <w:bottom w:val="none" w:sz="0" w:space="0" w:color="auto"/>
                <w:right w:val="none" w:sz="0" w:space="0" w:color="auto"/>
              </w:divBdr>
              <w:divsChild>
                <w:div w:id="12614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37027">
      <w:bodyDiv w:val="1"/>
      <w:marLeft w:val="0"/>
      <w:marRight w:val="0"/>
      <w:marTop w:val="0"/>
      <w:marBottom w:val="0"/>
      <w:divBdr>
        <w:top w:val="none" w:sz="0" w:space="0" w:color="auto"/>
        <w:left w:val="none" w:sz="0" w:space="0" w:color="auto"/>
        <w:bottom w:val="none" w:sz="0" w:space="0" w:color="auto"/>
        <w:right w:val="none" w:sz="0" w:space="0" w:color="auto"/>
      </w:divBdr>
    </w:div>
    <w:div w:id="395931130">
      <w:bodyDiv w:val="1"/>
      <w:marLeft w:val="0"/>
      <w:marRight w:val="0"/>
      <w:marTop w:val="0"/>
      <w:marBottom w:val="0"/>
      <w:divBdr>
        <w:top w:val="none" w:sz="0" w:space="0" w:color="auto"/>
        <w:left w:val="none" w:sz="0" w:space="0" w:color="auto"/>
        <w:bottom w:val="none" w:sz="0" w:space="0" w:color="auto"/>
        <w:right w:val="none" w:sz="0" w:space="0" w:color="auto"/>
      </w:divBdr>
    </w:div>
    <w:div w:id="467820063">
      <w:bodyDiv w:val="1"/>
      <w:marLeft w:val="0"/>
      <w:marRight w:val="0"/>
      <w:marTop w:val="0"/>
      <w:marBottom w:val="0"/>
      <w:divBdr>
        <w:top w:val="none" w:sz="0" w:space="0" w:color="auto"/>
        <w:left w:val="none" w:sz="0" w:space="0" w:color="auto"/>
        <w:bottom w:val="none" w:sz="0" w:space="0" w:color="auto"/>
        <w:right w:val="none" w:sz="0" w:space="0" w:color="auto"/>
      </w:divBdr>
      <w:divsChild>
        <w:div w:id="221018058">
          <w:marLeft w:val="0"/>
          <w:marRight w:val="0"/>
          <w:marTop w:val="0"/>
          <w:marBottom w:val="0"/>
          <w:divBdr>
            <w:top w:val="none" w:sz="0" w:space="0" w:color="auto"/>
            <w:left w:val="none" w:sz="0" w:space="0" w:color="auto"/>
            <w:bottom w:val="none" w:sz="0" w:space="0" w:color="auto"/>
            <w:right w:val="none" w:sz="0" w:space="0" w:color="auto"/>
          </w:divBdr>
          <w:divsChild>
            <w:div w:id="48266683">
              <w:marLeft w:val="0"/>
              <w:marRight w:val="0"/>
              <w:marTop w:val="0"/>
              <w:marBottom w:val="0"/>
              <w:divBdr>
                <w:top w:val="none" w:sz="0" w:space="0" w:color="auto"/>
                <w:left w:val="none" w:sz="0" w:space="0" w:color="auto"/>
                <w:bottom w:val="none" w:sz="0" w:space="0" w:color="auto"/>
                <w:right w:val="none" w:sz="0" w:space="0" w:color="auto"/>
              </w:divBdr>
              <w:divsChild>
                <w:div w:id="1763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4886">
      <w:bodyDiv w:val="1"/>
      <w:marLeft w:val="0"/>
      <w:marRight w:val="0"/>
      <w:marTop w:val="0"/>
      <w:marBottom w:val="0"/>
      <w:divBdr>
        <w:top w:val="none" w:sz="0" w:space="0" w:color="auto"/>
        <w:left w:val="none" w:sz="0" w:space="0" w:color="auto"/>
        <w:bottom w:val="none" w:sz="0" w:space="0" w:color="auto"/>
        <w:right w:val="none" w:sz="0" w:space="0" w:color="auto"/>
      </w:divBdr>
      <w:divsChild>
        <w:div w:id="1111125918">
          <w:marLeft w:val="0"/>
          <w:marRight w:val="0"/>
          <w:marTop w:val="0"/>
          <w:marBottom w:val="0"/>
          <w:divBdr>
            <w:top w:val="none" w:sz="0" w:space="0" w:color="auto"/>
            <w:left w:val="none" w:sz="0" w:space="0" w:color="auto"/>
            <w:bottom w:val="none" w:sz="0" w:space="0" w:color="auto"/>
            <w:right w:val="none" w:sz="0" w:space="0" w:color="auto"/>
          </w:divBdr>
          <w:divsChild>
            <w:div w:id="1533112323">
              <w:marLeft w:val="0"/>
              <w:marRight w:val="0"/>
              <w:marTop w:val="0"/>
              <w:marBottom w:val="0"/>
              <w:divBdr>
                <w:top w:val="none" w:sz="0" w:space="0" w:color="auto"/>
                <w:left w:val="none" w:sz="0" w:space="0" w:color="auto"/>
                <w:bottom w:val="none" w:sz="0" w:space="0" w:color="auto"/>
                <w:right w:val="none" w:sz="0" w:space="0" w:color="auto"/>
              </w:divBdr>
              <w:divsChild>
                <w:div w:id="1152794237">
                  <w:marLeft w:val="0"/>
                  <w:marRight w:val="0"/>
                  <w:marTop w:val="0"/>
                  <w:marBottom w:val="0"/>
                  <w:divBdr>
                    <w:top w:val="none" w:sz="0" w:space="0" w:color="auto"/>
                    <w:left w:val="none" w:sz="0" w:space="0" w:color="auto"/>
                    <w:bottom w:val="none" w:sz="0" w:space="0" w:color="auto"/>
                    <w:right w:val="none" w:sz="0" w:space="0" w:color="auto"/>
                  </w:divBdr>
                  <w:divsChild>
                    <w:div w:id="197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00225">
      <w:bodyDiv w:val="1"/>
      <w:marLeft w:val="0"/>
      <w:marRight w:val="0"/>
      <w:marTop w:val="0"/>
      <w:marBottom w:val="0"/>
      <w:divBdr>
        <w:top w:val="none" w:sz="0" w:space="0" w:color="auto"/>
        <w:left w:val="none" w:sz="0" w:space="0" w:color="auto"/>
        <w:bottom w:val="none" w:sz="0" w:space="0" w:color="auto"/>
        <w:right w:val="none" w:sz="0" w:space="0" w:color="auto"/>
      </w:divBdr>
      <w:divsChild>
        <w:div w:id="236021681">
          <w:marLeft w:val="0"/>
          <w:marRight w:val="0"/>
          <w:marTop w:val="0"/>
          <w:marBottom w:val="0"/>
          <w:divBdr>
            <w:top w:val="none" w:sz="0" w:space="0" w:color="auto"/>
            <w:left w:val="none" w:sz="0" w:space="0" w:color="auto"/>
            <w:bottom w:val="none" w:sz="0" w:space="0" w:color="auto"/>
            <w:right w:val="none" w:sz="0" w:space="0" w:color="auto"/>
          </w:divBdr>
          <w:divsChild>
            <w:div w:id="1936745329">
              <w:marLeft w:val="0"/>
              <w:marRight w:val="0"/>
              <w:marTop w:val="0"/>
              <w:marBottom w:val="0"/>
              <w:divBdr>
                <w:top w:val="none" w:sz="0" w:space="0" w:color="auto"/>
                <w:left w:val="none" w:sz="0" w:space="0" w:color="auto"/>
                <w:bottom w:val="none" w:sz="0" w:space="0" w:color="auto"/>
                <w:right w:val="none" w:sz="0" w:space="0" w:color="auto"/>
              </w:divBdr>
              <w:divsChild>
                <w:div w:id="21367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8637">
      <w:bodyDiv w:val="1"/>
      <w:marLeft w:val="0"/>
      <w:marRight w:val="0"/>
      <w:marTop w:val="0"/>
      <w:marBottom w:val="0"/>
      <w:divBdr>
        <w:top w:val="none" w:sz="0" w:space="0" w:color="auto"/>
        <w:left w:val="none" w:sz="0" w:space="0" w:color="auto"/>
        <w:bottom w:val="none" w:sz="0" w:space="0" w:color="auto"/>
        <w:right w:val="none" w:sz="0" w:space="0" w:color="auto"/>
      </w:divBdr>
    </w:div>
    <w:div w:id="702025957">
      <w:bodyDiv w:val="1"/>
      <w:marLeft w:val="0"/>
      <w:marRight w:val="0"/>
      <w:marTop w:val="0"/>
      <w:marBottom w:val="0"/>
      <w:divBdr>
        <w:top w:val="none" w:sz="0" w:space="0" w:color="auto"/>
        <w:left w:val="none" w:sz="0" w:space="0" w:color="auto"/>
        <w:bottom w:val="none" w:sz="0" w:space="0" w:color="auto"/>
        <w:right w:val="none" w:sz="0" w:space="0" w:color="auto"/>
      </w:divBdr>
      <w:divsChild>
        <w:div w:id="1382825472">
          <w:marLeft w:val="0"/>
          <w:marRight w:val="0"/>
          <w:marTop w:val="0"/>
          <w:marBottom w:val="0"/>
          <w:divBdr>
            <w:top w:val="none" w:sz="0" w:space="0" w:color="auto"/>
            <w:left w:val="none" w:sz="0" w:space="0" w:color="auto"/>
            <w:bottom w:val="none" w:sz="0" w:space="0" w:color="auto"/>
            <w:right w:val="none" w:sz="0" w:space="0" w:color="auto"/>
          </w:divBdr>
          <w:divsChild>
            <w:div w:id="1042361249">
              <w:marLeft w:val="0"/>
              <w:marRight w:val="0"/>
              <w:marTop w:val="0"/>
              <w:marBottom w:val="0"/>
              <w:divBdr>
                <w:top w:val="none" w:sz="0" w:space="0" w:color="auto"/>
                <w:left w:val="none" w:sz="0" w:space="0" w:color="auto"/>
                <w:bottom w:val="none" w:sz="0" w:space="0" w:color="auto"/>
                <w:right w:val="none" w:sz="0" w:space="0" w:color="auto"/>
              </w:divBdr>
              <w:divsChild>
                <w:div w:id="1523519944">
                  <w:marLeft w:val="0"/>
                  <w:marRight w:val="0"/>
                  <w:marTop w:val="0"/>
                  <w:marBottom w:val="0"/>
                  <w:divBdr>
                    <w:top w:val="none" w:sz="0" w:space="0" w:color="auto"/>
                    <w:left w:val="none" w:sz="0" w:space="0" w:color="auto"/>
                    <w:bottom w:val="none" w:sz="0" w:space="0" w:color="auto"/>
                    <w:right w:val="none" w:sz="0" w:space="0" w:color="auto"/>
                  </w:divBdr>
                  <w:divsChild>
                    <w:div w:id="7342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3850">
      <w:bodyDiv w:val="1"/>
      <w:marLeft w:val="0"/>
      <w:marRight w:val="0"/>
      <w:marTop w:val="0"/>
      <w:marBottom w:val="0"/>
      <w:divBdr>
        <w:top w:val="none" w:sz="0" w:space="0" w:color="auto"/>
        <w:left w:val="none" w:sz="0" w:space="0" w:color="auto"/>
        <w:bottom w:val="none" w:sz="0" w:space="0" w:color="auto"/>
        <w:right w:val="none" w:sz="0" w:space="0" w:color="auto"/>
      </w:divBdr>
      <w:divsChild>
        <w:div w:id="836073275">
          <w:marLeft w:val="0"/>
          <w:marRight w:val="0"/>
          <w:marTop w:val="0"/>
          <w:marBottom w:val="0"/>
          <w:divBdr>
            <w:top w:val="none" w:sz="0" w:space="0" w:color="auto"/>
            <w:left w:val="none" w:sz="0" w:space="0" w:color="auto"/>
            <w:bottom w:val="none" w:sz="0" w:space="0" w:color="auto"/>
            <w:right w:val="none" w:sz="0" w:space="0" w:color="auto"/>
          </w:divBdr>
          <w:divsChild>
            <w:div w:id="132413777">
              <w:marLeft w:val="0"/>
              <w:marRight w:val="0"/>
              <w:marTop w:val="0"/>
              <w:marBottom w:val="0"/>
              <w:divBdr>
                <w:top w:val="none" w:sz="0" w:space="0" w:color="auto"/>
                <w:left w:val="none" w:sz="0" w:space="0" w:color="auto"/>
                <w:bottom w:val="none" w:sz="0" w:space="0" w:color="auto"/>
                <w:right w:val="none" w:sz="0" w:space="0" w:color="auto"/>
              </w:divBdr>
              <w:divsChild>
                <w:div w:id="123477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82197">
      <w:bodyDiv w:val="1"/>
      <w:marLeft w:val="0"/>
      <w:marRight w:val="0"/>
      <w:marTop w:val="0"/>
      <w:marBottom w:val="0"/>
      <w:divBdr>
        <w:top w:val="none" w:sz="0" w:space="0" w:color="auto"/>
        <w:left w:val="none" w:sz="0" w:space="0" w:color="auto"/>
        <w:bottom w:val="none" w:sz="0" w:space="0" w:color="auto"/>
        <w:right w:val="none" w:sz="0" w:space="0" w:color="auto"/>
      </w:divBdr>
    </w:div>
    <w:div w:id="871576606">
      <w:bodyDiv w:val="1"/>
      <w:marLeft w:val="0"/>
      <w:marRight w:val="0"/>
      <w:marTop w:val="0"/>
      <w:marBottom w:val="0"/>
      <w:divBdr>
        <w:top w:val="none" w:sz="0" w:space="0" w:color="auto"/>
        <w:left w:val="none" w:sz="0" w:space="0" w:color="auto"/>
        <w:bottom w:val="none" w:sz="0" w:space="0" w:color="auto"/>
        <w:right w:val="none" w:sz="0" w:space="0" w:color="auto"/>
      </w:divBdr>
    </w:div>
    <w:div w:id="899554142">
      <w:bodyDiv w:val="1"/>
      <w:marLeft w:val="0"/>
      <w:marRight w:val="0"/>
      <w:marTop w:val="0"/>
      <w:marBottom w:val="0"/>
      <w:divBdr>
        <w:top w:val="none" w:sz="0" w:space="0" w:color="auto"/>
        <w:left w:val="none" w:sz="0" w:space="0" w:color="auto"/>
        <w:bottom w:val="none" w:sz="0" w:space="0" w:color="auto"/>
        <w:right w:val="none" w:sz="0" w:space="0" w:color="auto"/>
      </w:divBdr>
    </w:div>
    <w:div w:id="979847152">
      <w:bodyDiv w:val="1"/>
      <w:marLeft w:val="0"/>
      <w:marRight w:val="0"/>
      <w:marTop w:val="0"/>
      <w:marBottom w:val="0"/>
      <w:divBdr>
        <w:top w:val="none" w:sz="0" w:space="0" w:color="auto"/>
        <w:left w:val="none" w:sz="0" w:space="0" w:color="auto"/>
        <w:bottom w:val="none" w:sz="0" w:space="0" w:color="auto"/>
        <w:right w:val="none" w:sz="0" w:space="0" w:color="auto"/>
      </w:divBdr>
    </w:div>
    <w:div w:id="1040473803">
      <w:bodyDiv w:val="1"/>
      <w:marLeft w:val="0"/>
      <w:marRight w:val="0"/>
      <w:marTop w:val="0"/>
      <w:marBottom w:val="0"/>
      <w:divBdr>
        <w:top w:val="none" w:sz="0" w:space="0" w:color="auto"/>
        <w:left w:val="none" w:sz="0" w:space="0" w:color="auto"/>
        <w:bottom w:val="none" w:sz="0" w:space="0" w:color="auto"/>
        <w:right w:val="none" w:sz="0" w:space="0" w:color="auto"/>
      </w:divBdr>
    </w:div>
    <w:div w:id="1079447363">
      <w:bodyDiv w:val="1"/>
      <w:marLeft w:val="0"/>
      <w:marRight w:val="0"/>
      <w:marTop w:val="0"/>
      <w:marBottom w:val="0"/>
      <w:divBdr>
        <w:top w:val="none" w:sz="0" w:space="0" w:color="auto"/>
        <w:left w:val="none" w:sz="0" w:space="0" w:color="auto"/>
        <w:bottom w:val="none" w:sz="0" w:space="0" w:color="auto"/>
        <w:right w:val="none" w:sz="0" w:space="0" w:color="auto"/>
      </w:divBdr>
    </w:div>
    <w:div w:id="1110050706">
      <w:bodyDiv w:val="1"/>
      <w:marLeft w:val="0"/>
      <w:marRight w:val="0"/>
      <w:marTop w:val="0"/>
      <w:marBottom w:val="0"/>
      <w:divBdr>
        <w:top w:val="none" w:sz="0" w:space="0" w:color="auto"/>
        <w:left w:val="none" w:sz="0" w:space="0" w:color="auto"/>
        <w:bottom w:val="none" w:sz="0" w:space="0" w:color="auto"/>
        <w:right w:val="none" w:sz="0" w:space="0" w:color="auto"/>
      </w:divBdr>
      <w:divsChild>
        <w:div w:id="1369254566">
          <w:marLeft w:val="0"/>
          <w:marRight w:val="0"/>
          <w:marTop w:val="0"/>
          <w:marBottom w:val="0"/>
          <w:divBdr>
            <w:top w:val="none" w:sz="0" w:space="0" w:color="auto"/>
            <w:left w:val="none" w:sz="0" w:space="0" w:color="auto"/>
            <w:bottom w:val="none" w:sz="0" w:space="0" w:color="auto"/>
            <w:right w:val="none" w:sz="0" w:space="0" w:color="auto"/>
          </w:divBdr>
          <w:divsChild>
            <w:div w:id="902566452">
              <w:marLeft w:val="0"/>
              <w:marRight w:val="0"/>
              <w:marTop w:val="0"/>
              <w:marBottom w:val="0"/>
              <w:divBdr>
                <w:top w:val="none" w:sz="0" w:space="0" w:color="auto"/>
                <w:left w:val="none" w:sz="0" w:space="0" w:color="auto"/>
                <w:bottom w:val="none" w:sz="0" w:space="0" w:color="auto"/>
                <w:right w:val="none" w:sz="0" w:space="0" w:color="auto"/>
              </w:divBdr>
              <w:divsChild>
                <w:div w:id="7510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4343">
      <w:bodyDiv w:val="1"/>
      <w:marLeft w:val="0"/>
      <w:marRight w:val="0"/>
      <w:marTop w:val="0"/>
      <w:marBottom w:val="0"/>
      <w:divBdr>
        <w:top w:val="none" w:sz="0" w:space="0" w:color="auto"/>
        <w:left w:val="none" w:sz="0" w:space="0" w:color="auto"/>
        <w:bottom w:val="none" w:sz="0" w:space="0" w:color="auto"/>
        <w:right w:val="none" w:sz="0" w:space="0" w:color="auto"/>
      </w:divBdr>
    </w:div>
    <w:div w:id="1773085924">
      <w:bodyDiv w:val="1"/>
      <w:marLeft w:val="0"/>
      <w:marRight w:val="0"/>
      <w:marTop w:val="0"/>
      <w:marBottom w:val="0"/>
      <w:divBdr>
        <w:top w:val="none" w:sz="0" w:space="0" w:color="auto"/>
        <w:left w:val="none" w:sz="0" w:space="0" w:color="auto"/>
        <w:bottom w:val="none" w:sz="0" w:space="0" w:color="auto"/>
        <w:right w:val="none" w:sz="0" w:space="0" w:color="auto"/>
      </w:divBdr>
      <w:divsChild>
        <w:div w:id="1244604488">
          <w:marLeft w:val="0"/>
          <w:marRight w:val="0"/>
          <w:marTop w:val="0"/>
          <w:marBottom w:val="0"/>
          <w:divBdr>
            <w:top w:val="none" w:sz="0" w:space="0" w:color="auto"/>
            <w:left w:val="none" w:sz="0" w:space="0" w:color="auto"/>
            <w:bottom w:val="none" w:sz="0" w:space="0" w:color="auto"/>
            <w:right w:val="none" w:sz="0" w:space="0" w:color="auto"/>
          </w:divBdr>
          <w:divsChild>
            <w:div w:id="954021116">
              <w:marLeft w:val="0"/>
              <w:marRight w:val="0"/>
              <w:marTop w:val="0"/>
              <w:marBottom w:val="0"/>
              <w:divBdr>
                <w:top w:val="none" w:sz="0" w:space="0" w:color="auto"/>
                <w:left w:val="none" w:sz="0" w:space="0" w:color="auto"/>
                <w:bottom w:val="none" w:sz="0" w:space="0" w:color="auto"/>
                <w:right w:val="none" w:sz="0" w:space="0" w:color="auto"/>
              </w:divBdr>
              <w:divsChild>
                <w:div w:id="15507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0423">
      <w:bodyDiv w:val="1"/>
      <w:marLeft w:val="0"/>
      <w:marRight w:val="0"/>
      <w:marTop w:val="0"/>
      <w:marBottom w:val="0"/>
      <w:divBdr>
        <w:top w:val="none" w:sz="0" w:space="0" w:color="auto"/>
        <w:left w:val="none" w:sz="0" w:space="0" w:color="auto"/>
        <w:bottom w:val="none" w:sz="0" w:space="0" w:color="auto"/>
        <w:right w:val="none" w:sz="0" w:space="0" w:color="auto"/>
      </w:divBdr>
    </w:div>
    <w:div w:id="2003582062">
      <w:bodyDiv w:val="1"/>
      <w:marLeft w:val="0"/>
      <w:marRight w:val="0"/>
      <w:marTop w:val="0"/>
      <w:marBottom w:val="0"/>
      <w:divBdr>
        <w:top w:val="none" w:sz="0" w:space="0" w:color="auto"/>
        <w:left w:val="none" w:sz="0" w:space="0" w:color="auto"/>
        <w:bottom w:val="none" w:sz="0" w:space="0" w:color="auto"/>
        <w:right w:val="none" w:sz="0" w:space="0" w:color="auto"/>
      </w:divBdr>
      <w:divsChild>
        <w:div w:id="2035961538">
          <w:marLeft w:val="0"/>
          <w:marRight w:val="0"/>
          <w:marTop w:val="0"/>
          <w:marBottom w:val="0"/>
          <w:divBdr>
            <w:top w:val="none" w:sz="0" w:space="0" w:color="auto"/>
            <w:left w:val="none" w:sz="0" w:space="0" w:color="auto"/>
            <w:bottom w:val="none" w:sz="0" w:space="0" w:color="auto"/>
            <w:right w:val="none" w:sz="0" w:space="0" w:color="auto"/>
          </w:divBdr>
          <w:divsChild>
            <w:div w:id="317347272">
              <w:marLeft w:val="0"/>
              <w:marRight w:val="0"/>
              <w:marTop w:val="0"/>
              <w:marBottom w:val="0"/>
              <w:divBdr>
                <w:top w:val="none" w:sz="0" w:space="0" w:color="auto"/>
                <w:left w:val="none" w:sz="0" w:space="0" w:color="auto"/>
                <w:bottom w:val="none" w:sz="0" w:space="0" w:color="auto"/>
                <w:right w:val="none" w:sz="0" w:space="0" w:color="auto"/>
              </w:divBdr>
              <w:divsChild>
                <w:div w:id="9624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885FD-7F17-4F4A-BFEA-B4E016BB2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12047</Words>
  <Characters>68671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10</cp:revision>
  <cp:lastPrinted>2023-03-23T11:13:00Z</cp:lastPrinted>
  <dcterms:created xsi:type="dcterms:W3CDTF">2024-10-30T05:21:00Z</dcterms:created>
  <dcterms:modified xsi:type="dcterms:W3CDTF">2024-10-30T05:37:00Z</dcterms:modified>
</cp:coreProperties>
</file>